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26A81">
      <w:pPr>
        <w:jc w:val="center"/>
        <w:rPr>
          <w:b/>
          <w:bCs/>
          <w:sz w:val="28"/>
        </w:rPr>
      </w:pPr>
      <w:r>
        <w:rPr>
          <w:rFonts w:hint="eastAsia" w:ascii="宋体" w:hAnsi="宋体" w:eastAsia="宋体" w:cs="宋体"/>
          <w:b/>
          <w:bCs/>
          <w:color w:val="000000"/>
          <w:sz w:val="32"/>
          <w:szCs w:val="32"/>
          <w:lang w:val="zh-CN" w:bidi="zh-CN"/>
        </w:rPr>
        <w:t>财政税务学院数字税收微专业</w:t>
      </w:r>
      <w:r>
        <w:rPr>
          <w:rFonts w:hint="eastAsia" w:ascii="宋体" w:hAnsi="宋体" w:eastAsia="宋体" w:cs="宋体"/>
          <w:b/>
          <w:bCs/>
          <w:color w:val="000000"/>
          <w:sz w:val="32"/>
          <w:szCs w:val="32"/>
          <w:lang w:bidi="zh-CN"/>
        </w:rPr>
        <w:t>简介</w:t>
      </w:r>
    </w:p>
    <w:p w14:paraId="773FAA3A">
      <w:pPr>
        <w:pStyle w:val="10"/>
        <w:spacing w:before="96" w:beforeLines="40" w:after="96" w:afterLines="40" w:line="440" w:lineRule="exact"/>
        <w:ind w:firstLine="518"/>
        <w:rPr>
          <w:rStyle w:val="7"/>
          <w:rFonts w:ascii="宋体" w:hAnsi="宋体" w:eastAsia="宋体" w:cs="宋体"/>
          <w:bCs/>
          <w:color w:val="000000"/>
          <w:spacing w:val="9"/>
          <w:sz w:val="24"/>
          <w:szCs w:val="24"/>
          <w:shd w:val="clear" w:color="auto" w:fill="FFFFFF"/>
        </w:rPr>
      </w:pPr>
      <w:r>
        <w:rPr>
          <w:rStyle w:val="7"/>
          <w:rFonts w:hint="eastAsia" w:ascii="宋体" w:hAnsi="宋体" w:eastAsia="宋体" w:cs="宋体"/>
          <w:bCs/>
          <w:color w:val="000000"/>
          <w:spacing w:val="9"/>
          <w:sz w:val="24"/>
          <w:szCs w:val="24"/>
          <w:shd w:val="clear" w:color="auto" w:fill="FFFFFF"/>
        </w:rPr>
        <w:t>一、专业概况</w:t>
      </w:r>
    </w:p>
    <w:p w14:paraId="6E4ED0CB">
      <w:pPr>
        <w:pStyle w:val="10"/>
        <w:spacing w:before="96" w:beforeLines="40" w:after="96" w:afterLines="40" w:line="440" w:lineRule="exact"/>
        <w:ind w:firstLine="518"/>
        <w:rPr>
          <w:rStyle w:val="7"/>
          <w:rFonts w:hint="eastAsia" w:ascii="宋体" w:hAnsi="宋体" w:eastAsia="宋体" w:cs="宋体"/>
          <w:b w:val="0"/>
          <w:color w:val="000000"/>
          <w:spacing w:val="9"/>
          <w:sz w:val="24"/>
          <w:szCs w:val="24"/>
          <w:shd w:val="clear" w:color="auto" w:fill="FFFFFF"/>
        </w:rPr>
      </w:pPr>
      <w:r>
        <w:rPr>
          <w:rStyle w:val="7"/>
          <w:rFonts w:hint="eastAsia" w:ascii="宋体" w:hAnsi="宋体" w:eastAsia="宋体" w:cs="宋体"/>
          <w:b w:val="0"/>
          <w:color w:val="000000"/>
          <w:spacing w:val="9"/>
          <w:sz w:val="24"/>
          <w:szCs w:val="24"/>
          <w:shd w:val="clear" w:color="auto" w:fill="FFFFFF"/>
        </w:rPr>
        <w:t>当前，数字经济已成为我国经济高质量发展的核心驱动力，数字化、智能化建设上升为国家重要发展战略。为落实教育部微专业建设与复合型创新人才培养要求，适配数字时代高等教育交叉融合、学以致用的育人导向，破解财税领域数智化人才供给短板，税务系统自2020年起全面推进征管数字化、智能化改革。依托大数据、人工智能、区块链等数字技术，税收治理实现征管效能升级、决策精准赋能与税收公平提质，数字税收由此成为数字技术与传统财税治理深度融合的新型专业领域，是新时代税收治理现代化的核心发展方向。</w:t>
      </w:r>
    </w:p>
    <w:p w14:paraId="6A21991E">
      <w:pPr>
        <w:pStyle w:val="10"/>
        <w:spacing w:before="96" w:beforeLines="40" w:after="96" w:afterLines="40" w:line="440" w:lineRule="exact"/>
        <w:ind w:firstLine="518"/>
        <w:rPr>
          <w:rStyle w:val="7"/>
          <w:rFonts w:hint="eastAsia" w:ascii="宋体" w:hAnsi="宋体" w:eastAsia="宋体" w:cs="宋体"/>
          <w:b w:val="0"/>
          <w:color w:val="000000"/>
          <w:spacing w:val="9"/>
          <w:sz w:val="24"/>
          <w:szCs w:val="24"/>
          <w:shd w:val="clear" w:color="auto" w:fill="FFFFFF"/>
        </w:rPr>
      </w:pPr>
      <w:r>
        <w:rPr>
          <w:rStyle w:val="7"/>
          <w:rFonts w:hint="eastAsia" w:ascii="宋体" w:hAnsi="宋体" w:eastAsia="宋体" w:cs="宋体"/>
          <w:b w:val="0"/>
          <w:color w:val="000000"/>
          <w:spacing w:val="9"/>
          <w:sz w:val="24"/>
          <w:szCs w:val="24"/>
          <w:shd w:val="clear" w:color="auto" w:fill="FFFFFF"/>
        </w:rPr>
        <w:t>西南财经大学财政税务学院立足深厚的财税学科积淀，依托税校深度融合的优质师资与实践平台，开设特色数字税收微专业项目。本项目紧扣数字经济背景下税收行业转型与岗位能力新需求，遵循微专业精专、前沿、实用的建设定位，面向全校在校生开展交叉拓展式专项培养，并提供正规学业认证，助力学生补齐数智财税能力短板、拓宽发展</w:t>
      </w:r>
      <w:bookmarkStart w:id="0" w:name="_GoBack"/>
      <w:bookmarkEnd w:id="0"/>
      <w:r>
        <w:rPr>
          <w:rStyle w:val="7"/>
          <w:rFonts w:hint="eastAsia" w:ascii="宋体" w:hAnsi="宋体" w:eastAsia="宋体" w:cs="宋体"/>
          <w:b w:val="0"/>
          <w:color w:val="000000"/>
          <w:spacing w:val="9"/>
          <w:sz w:val="24"/>
          <w:szCs w:val="24"/>
          <w:shd w:val="clear" w:color="auto" w:fill="FFFFFF"/>
        </w:rPr>
        <w:t>赛道，培养适配税收现代化建设的复合型财税人才。</w:t>
      </w:r>
    </w:p>
    <w:p w14:paraId="6A175D2E">
      <w:pPr>
        <w:pStyle w:val="10"/>
        <w:spacing w:before="96" w:beforeLines="40" w:after="96" w:afterLines="40" w:line="440" w:lineRule="exact"/>
        <w:ind w:firstLine="518"/>
        <w:rPr>
          <w:rStyle w:val="7"/>
          <w:rFonts w:ascii="宋体" w:hAnsi="宋体" w:eastAsia="宋体" w:cs="宋体"/>
          <w:bCs/>
          <w:color w:val="000000"/>
          <w:spacing w:val="9"/>
          <w:sz w:val="24"/>
          <w:szCs w:val="24"/>
          <w:shd w:val="clear" w:color="auto" w:fill="FFFFFF"/>
        </w:rPr>
      </w:pPr>
      <w:r>
        <w:rPr>
          <w:rStyle w:val="7"/>
          <w:rFonts w:hint="eastAsia" w:ascii="宋体" w:hAnsi="宋体" w:eastAsia="宋体" w:cs="宋体"/>
          <w:bCs/>
          <w:color w:val="000000"/>
          <w:spacing w:val="9"/>
          <w:sz w:val="24"/>
          <w:szCs w:val="24"/>
          <w:shd w:val="clear" w:color="auto" w:fill="FFFFFF"/>
        </w:rPr>
        <w:t>二、培养目标</w:t>
      </w:r>
    </w:p>
    <w:p w14:paraId="79104CA3">
      <w:pPr>
        <w:pStyle w:val="10"/>
        <w:spacing w:before="96" w:beforeLines="40" w:after="96" w:afterLines="40" w:line="440" w:lineRule="exact"/>
        <w:ind w:firstLine="516"/>
        <w:rPr>
          <w:rStyle w:val="7"/>
          <w:rFonts w:ascii="宋体" w:hAnsi="宋体" w:eastAsia="宋体" w:cs="宋体"/>
          <w:b w:val="0"/>
          <w:color w:val="000000"/>
          <w:spacing w:val="9"/>
          <w:sz w:val="24"/>
          <w:szCs w:val="24"/>
          <w:shd w:val="clear" w:color="auto" w:fill="FFFFFF"/>
        </w:rPr>
      </w:pPr>
      <w:r>
        <w:rPr>
          <w:rStyle w:val="7"/>
          <w:rFonts w:hint="eastAsia" w:ascii="宋体" w:hAnsi="宋体" w:eastAsia="宋体" w:cs="宋体"/>
          <w:b w:val="0"/>
          <w:color w:val="000000"/>
          <w:spacing w:val="9"/>
          <w:sz w:val="24"/>
          <w:szCs w:val="24"/>
          <w:shd w:val="clear" w:color="auto" w:fill="FFFFFF"/>
        </w:rPr>
        <w:t>本专业坚持立德树人，培养适应中国数字税收发展需要、德智体美劳全面发展，具备数字经济视野与社会责任感，系统掌握税收学理论及数字应用知识，兼具创新思维与实操素养，着力培育学生从动脑研判、动手实操到熟练运用数智工具的综合能力，可在政府部门、税务机关、税务咨询机构、会计师和税务师事务所以及各类企业等从事税收管理、税务咨询、税务筹划等相关业务的复合应用型税务专业人才。</w:t>
      </w:r>
    </w:p>
    <w:p w14:paraId="70ACAE72">
      <w:pPr>
        <w:pStyle w:val="10"/>
        <w:spacing w:before="96" w:beforeLines="40" w:after="96" w:afterLines="40" w:line="440" w:lineRule="exact"/>
        <w:ind w:firstLine="518"/>
        <w:rPr>
          <w:rStyle w:val="7"/>
          <w:rFonts w:ascii="宋体" w:hAnsi="宋体" w:eastAsia="宋体" w:cs="宋体"/>
          <w:bCs/>
          <w:color w:val="000000"/>
          <w:spacing w:val="9"/>
          <w:sz w:val="24"/>
          <w:szCs w:val="24"/>
          <w:shd w:val="clear" w:color="auto" w:fill="FFFFFF"/>
        </w:rPr>
      </w:pPr>
      <w:r>
        <w:rPr>
          <w:rStyle w:val="7"/>
          <w:rFonts w:hint="eastAsia" w:ascii="宋体" w:hAnsi="宋体" w:eastAsia="宋体" w:cs="宋体"/>
          <w:bCs/>
          <w:color w:val="000000"/>
          <w:spacing w:val="9"/>
          <w:sz w:val="24"/>
          <w:szCs w:val="24"/>
          <w:shd w:val="clear" w:color="auto" w:fill="FFFFFF"/>
        </w:rPr>
        <w:t>三、课程适用人群</w:t>
      </w:r>
    </w:p>
    <w:p w14:paraId="330903B2">
      <w:pPr>
        <w:pStyle w:val="10"/>
        <w:spacing w:before="96" w:beforeLines="40" w:after="96" w:afterLines="40" w:line="440" w:lineRule="exact"/>
        <w:ind w:firstLine="516"/>
        <w:rPr>
          <w:rStyle w:val="7"/>
          <w:rFonts w:ascii="宋体" w:hAnsi="宋体" w:eastAsia="宋体" w:cs="宋体"/>
          <w:b w:val="0"/>
          <w:color w:val="000000"/>
          <w:spacing w:val="9"/>
          <w:sz w:val="24"/>
          <w:szCs w:val="24"/>
          <w:shd w:val="clear" w:color="auto" w:fill="FFFFFF"/>
        </w:rPr>
      </w:pPr>
      <w:r>
        <w:rPr>
          <w:rStyle w:val="7"/>
          <w:rFonts w:hint="eastAsia" w:ascii="宋体" w:hAnsi="宋体" w:eastAsia="宋体" w:cs="宋体"/>
          <w:b w:val="0"/>
          <w:color w:val="000000"/>
          <w:spacing w:val="9"/>
          <w:sz w:val="24"/>
          <w:szCs w:val="24"/>
          <w:shd w:val="clear" w:color="auto" w:fill="FFFFFF"/>
        </w:rPr>
        <w:t>有志探索大数据、人工智能、区块链等数字技术在税收治理场景落地应用，渴望实现技术认知向实务技能转化的在校学生。未来意向入职税务征管部门、财税咨询机构、企业财务风控岗位，从事现代化税收管理、财税合规筹划与税收政策分析研究的学生。计划继续深造财税、经济、管理等相关学科，希望依托交叉课程夯实学术基础、丰富科研履历的学生。具备信息技术、数理统计、数据分析等学科基础，期望与税收实务深度融合，构建跨领域复合型知识结构的学生。本微专业课程包容性强、适配面广，既适配财税本专业学生深化专业能力，也面向各专业学生开放跨学科学习通道，助力学生适配数字财税发展趋势、提升核心竞争优势，在数字经济时代高质量发展中抢占先机、脱颖而出。</w:t>
      </w:r>
    </w:p>
    <w:p w14:paraId="59C14EC6">
      <w:pPr>
        <w:pStyle w:val="10"/>
        <w:spacing w:before="96" w:beforeLines="40" w:after="96" w:afterLines="40" w:line="440" w:lineRule="exact"/>
        <w:ind w:firstLine="518"/>
        <w:rPr>
          <w:rStyle w:val="7"/>
          <w:rFonts w:ascii="宋体" w:hAnsi="宋体" w:eastAsia="宋体" w:cs="宋体"/>
          <w:bCs/>
          <w:color w:val="000000"/>
          <w:spacing w:val="9"/>
          <w:sz w:val="24"/>
          <w:szCs w:val="24"/>
          <w:shd w:val="clear" w:color="auto" w:fill="FFFFFF"/>
        </w:rPr>
      </w:pPr>
      <w:r>
        <w:rPr>
          <w:rStyle w:val="7"/>
          <w:rFonts w:hint="eastAsia" w:ascii="宋体" w:hAnsi="宋体" w:eastAsia="宋体" w:cs="宋体"/>
          <w:bCs/>
          <w:color w:val="000000"/>
          <w:spacing w:val="9"/>
          <w:sz w:val="24"/>
          <w:szCs w:val="24"/>
          <w:shd w:val="clear" w:color="auto" w:fill="FFFFFF"/>
        </w:rPr>
        <w:t>四、学制与认证</w:t>
      </w:r>
    </w:p>
    <w:p w14:paraId="6319AA2B">
      <w:pPr>
        <w:pStyle w:val="10"/>
        <w:spacing w:before="96" w:beforeLines="40" w:after="96" w:afterLines="40" w:line="440" w:lineRule="exact"/>
        <w:ind w:firstLine="516"/>
        <w:rPr>
          <w:rStyle w:val="7"/>
          <w:rFonts w:ascii="宋体" w:hAnsi="宋体" w:eastAsia="宋体" w:cs="宋体"/>
          <w:b w:val="0"/>
          <w:color w:val="000000"/>
          <w:spacing w:val="9"/>
          <w:sz w:val="24"/>
          <w:szCs w:val="24"/>
          <w:shd w:val="clear" w:color="auto" w:fill="FFFFFF"/>
        </w:rPr>
      </w:pPr>
      <w:r>
        <w:rPr>
          <w:rStyle w:val="7"/>
          <w:rFonts w:hint="eastAsia" w:ascii="宋体" w:hAnsi="宋体" w:eastAsia="宋体" w:cs="宋体"/>
          <w:b w:val="0"/>
          <w:color w:val="000000"/>
          <w:spacing w:val="9"/>
          <w:sz w:val="24"/>
          <w:szCs w:val="24"/>
          <w:shd w:val="clear" w:color="auto" w:fill="FFFFFF"/>
        </w:rPr>
        <w:t>《数字财税概论》（课程代码：OPT529）、《机器学习与财税数据挖掘》（课程代码：OPT530）、《税法知识图谱》（课程代码：OPT531）、《</w:t>
      </w:r>
      <w:r>
        <w:rPr>
          <w:rStyle w:val="7"/>
          <w:rFonts w:hint="eastAsia" w:ascii="宋体" w:hAnsi="宋体" w:eastAsia="宋体" w:cs="宋体"/>
          <w:b w:val="0"/>
          <w:color w:val="000000"/>
          <w:spacing w:val="9"/>
          <w:sz w:val="24"/>
          <w:szCs w:val="24"/>
          <w:shd w:val="clear" w:color="auto" w:fill="FFFFFF"/>
          <w:lang w:val="en-US" w:eastAsia="zh-CN"/>
        </w:rPr>
        <w:t>数字</w:t>
      </w:r>
      <w:r>
        <w:rPr>
          <w:rStyle w:val="7"/>
          <w:rFonts w:hint="eastAsia" w:ascii="宋体" w:hAnsi="宋体" w:eastAsia="宋体" w:cs="宋体"/>
          <w:b w:val="0"/>
          <w:color w:val="000000"/>
          <w:spacing w:val="9"/>
          <w:sz w:val="24"/>
          <w:szCs w:val="24"/>
          <w:shd w:val="clear" w:color="auto" w:fill="FFFFFF"/>
        </w:rPr>
        <w:t>税收征管》（课程代码：OPT532）、《区块链与税收共治》（课程代码：OPT533）5门课程分别对应1学分的通识选修课，其他形式及学分的课程不纳入认证。</w:t>
      </w:r>
    </w:p>
    <w:p w14:paraId="238BCA5D">
      <w:pPr>
        <w:pStyle w:val="10"/>
        <w:spacing w:before="96" w:beforeLines="40" w:after="96" w:afterLines="40" w:line="440" w:lineRule="exact"/>
        <w:ind w:firstLine="516"/>
        <w:rPr>
          <w:rStyle w:val="7"/>
          <w:rFonts w:ascii="宋体" w:hAnsi="宋体" w:eastAsia="宋体" w:cs="宋体"/>
          <w:b w:val="0"/>
          <w:color w:val="000000"/>
          <w:spacing w:val="9"/>
          <w:sz w:val="24"/>
          <w:szCs w:val="24"/>
          <w:shd w:val="clear" w:color="auto" w:fill="FFFFFF"/>
        </w:rPr>
      </w:pPr>
      <w:r>
        <w:rPr>
          <w:rStyle w:val="7"/>
          <w:rFonts w:hint="eastAsia" w:ascii="宋体" w:hAnsi="宋体" w:eastAsia="宋体" w:cs="宋体"/>
          <w:b w:val="0"/>
          <w:color w:val="000000"/>
          <w:spacing w:val="9"/>
          <w:sz w:val="24"/>
          <w:szCs w:val="24"/>
          <w:shd w:val="clear" w:color="auto" w:fill="FFFFFF"/>
        </w:rPr>
        <w:t>学生学完以上5门课并通过考试，可获得微专业修读证明。</w:t>
      </w:r>
    </w:p>
    <w:p w14:paraId="4306C705">
      <w:pPr>
        <w:pStyle w:val="10"/>
        <w:spacing w:before="96" w:beforeLines="40" w:after="96" w:afterLines="40" w:line="440" w:lineRule="exact"/>
        <w:ind w:firstLine="518"/>
        <w:rPr>
          <w:rStyle w:val="7"/>
          <w:rFonts w:ascii="宋体" w:hAnsi="宋体" w:eastAsia="宋体" w:cs="宋体"/>
          <w:bCs/>
          <w:color w:val="000000"/>
          <w:spacing w:val="9"/>
          <w:sz w:val="24"/>
          <w:szCs w:val="24"/>
          <w:shd w:val="clear" w:color="auto" w:fill="FFFFFF"/>
        </w:rPr>
      </w:pPr>
      <w:r>
        <w:rPr>
          <w:rStyle w:val="7"/>
          <w:rFonts w:hint="eastAsia" w:ascii="宋体" w:hAnsi="宋体" w:eastAsia="宋体" w:cs="宋体"/>
          <w:bCs/>
          <w:color w:val="000000"/>
          <w:spacing w:val="9"/>
          <w:sz w:val="24"/>
          <w:szCs w:val="24"/>
          <w:shd w:val="clear" w:color="auto" w:fill="FFFFFF"/>
        </w:rPr>
        <w:t>五、招生对象</w:t>
      </w:r>
    </w:p>
    <w:p w14:paraId="03E8E9A7">
      <w:pPr>
        <w:pStyle w:val="10"/>
        <w:spacing w:before="96" w:beforeLines="40" w:after="96" w:afterLines="40" w:line="440" w:lineRule="exact"/>
        <w:ind w:firstLine="516"/>
        <w:rPr>
          <w:rStyle w:val="7"/>
          <w:rFonts w:ascii="宋体" w:hAnsi="宋体" w:eastAsia="宋体" w:cs="宋体"/>
          <w:b w:val="0"/>
          <w:color w:val="000000"/>
          <w:spacing w:val="9"/>
          <w:sz w:val="24"/>
          <w:szCs w:val="24"/>
          <w:shd w:val="clear" w:color="auto" w:fill="FFFFFF"/>
        </w:rPr>
      </w:pPr>
      <w:r>
        <w:rPr>
          <w:rStyle w:val="7"/>
          <w:rFonts w:hint="eastAsia" w:ascii="宋体" w:hAnsi="宋体" w:eastAsia="宋体" w:cs="宋体"/>
          <w:b w:val="0"/>
          <w:color w:val="000000"/>
          <w:spacing w:val="9"/>
          <w:sz w:val="24"/>
          <w:szCs w:val="24"/>
          <w:shd w:val="clear" w:color="auto" w:fill="FFFFFF"/>
        </w:rPr>
        <w:t>在校大二下及以上年级本科生。</w:t>
      </w:r>
    </w:p>
    <w:p w14:paraId="310C56B1">
      <w:pPr>
        <w:pStyle w:val="10"/>
        <w:spacing w:before="96" w:beforeLines="40" w:after="96" w:afterLines="40" w:line="440" w:lineRule="exact"/>
        <w:ind w:firstLine="518"/>
        <w:rPr>
          <w:rStyle w:val="7"/>
          <w:rFonts w:ascii="宋体" w:hAnsi="宋体" w:eastAsia="宋体" w:cs="宋体"/>
          <w:bCs/>
          <w:color w:val="000000"/>
          <w:spacing w:val="9"/>
          <w:sz w:val="24"/>
          <w:szCs w:val="24"/>
          <w:shd w:val="clear" w:color="auto" w:fill="FFFFFF"/>
        </w:rPr>
      </w:pPr>
      <w:r>
        <w:rPr>
          <w:rStyle w:val="7"/>
          <w:rFonts w:hint="eastAsia" w:ascii="宋体" w:hAnsi="宋体" w:eastAsia="宋体" w:cs="宋体"/>
          <w:bCs/>
          <w:color w:val="000000"/>
          <w:spacing w:val="9"/>
          <w:sz w:val="24"/>
          <w:szCs w:val="24"/>
          <w:shd w:val="clear" w:color="auto" w:fill="FFFFFF"/>
        </w:rPr>
        <w:t>六、报名时间及流程</w:t>
      </w:r>
    </w:p>
    <w:p w14:paraId="711EC386">
      <w:pPr>
        <w:pStyle w:val="10"/>
        <w:spacing w:before="96" w:beforeLines="40" w:after="96" w:afterLines="40" w:line="440" w:lineRule="exact"/>
        <w:ind w:firstLine="516"/>
        <w:rPr>
          <w:rStyle w:val="7"/>
          <w:rFonts w:ascii="宋体" w:hAnsi="宋体" w:eastAsia="宋体" w:cs="宋体"/>
          <w:b w:val="0"/>
          <w:color w:val="000000"/>
          <w:spacing w:val="9"/>
          <w:sz w:val="24"/>
          <w:szCs w:val="24"/>
          <w:shd w:val="clear" w:color="auto" w:fill="FFFFFF"/>
        </w:rPr>
      </w:pPr>
      <w:r>
        <w:rPr>
          <w:rStyle w:val="7"/>
          <w:rFonts w:hint="eastAsia" w:ascii="宋体" w:hAnsi="宋体" w:eastAsia="宋体" w:cs="宋体"/>
          <w:b w:val="0"/>
          <w:color w:val="000000"/>
          <w:spacing w:val="9"/>
          <w:sz w:val="24"/>
          <w:szCs w:val="24"/>
          <w:shd w:val="clear" w:color="auto" w:fill="FFFFFF"/>
        </w:rPr>
        <w:t>202</w:t>
      </w:r>
      <w:r>
        <w:rPr>
          <w:rStyle w:val="7"/>
          <w:rFonts w:hint="eastAsia" w:ascii="宋体" w:hAnsi="宋体" w:eastAsia="宋体" w:cs="宋体"/>
          <w:b w:val="0"/>
          <w:color w:val="000000"/>
          <w:spacing w:val="9"/>
          <w:sz w:val="24"/>
          <w:szCs w:val="24"/>
          <w:shd w:val="clear" w:color="auto" w:fill="FFFFFF"/>
          <w:lang w:val="en-US" w:eastAsia="zh-CN"/>
        </w:rPr>
        <w:t>6</w:t>
      </w:r>
      <w:r>
        <w:rPr>
          <w:rStyle w:val="7"/>
          <w:rFonts w:hint="eastAsia" w:ascii="宋体" w:hAnsi="宋体" w:eastAsia="宋体" w:cs="宋体"/>
          <w:b w:val="0"/>
          <w:color w:val="000000"/>
          <w:spacing w:val="9"/>
          <w:sz w:val="24"/>
          <w:szCs w:val="24"/>
          <w:shd w:val="clear" w:color="auto" w:fill="FFFFFF"/>
        </w:rPr>
        <w:t>-202</w:t>
      </w:r>
      <w:r>
        <w:rPr>
          <w:rStyle w:val="7"/>
          <w:rFonts w:hint="eastAsia" w:ascii="宋体" w:hAnsi="宋体" w:eastAsia="宋体" w:cs="宋体"/>
          <w:b w:val="0"/>
          <w:color w:val="000000"/>
          <w:spacing w:val="9"/>
          <w:sz w:val="24"/>
          <w:szCs w:val="24"/>
          <w:shd w:val="clear" w:color="auto" w:fill="FFFFFF"/>
          <w:lang w:val="en-US" w:eastAsia="zh-CN"/>
        </w:rPr>
        <w:t>7</w:t>
      </w:r>
      <w:r>
        <w:rPr>
          <w:rStyle w:val="7"/>
          <w:rFonts w:hint="eastAsia" w:ascii="宋体" w:hAnsi="宋体" w:eastAsia="宋体" w:cs="宋体"/>
          <w:b w:val="0"/>
          <w:color w:val="000000"/>
          <w:spacing w:val="9"/>
          <w:sz w:val="24"/>
          <w:szCs w:val="24"/>
          <w:shd w:val="clear" w:color="auto" w:fill="FFFFFF"/>
        </w:rPr>
        <w:t>-</w:t>
      </w:r>
      <w:r>
        <w:rPr>
          <w:rStyle w:val="7"/>
          <w:rFonts w:hint="eastAsia" w:ascii="宋体" w:hAnsi="宋体" w:eastAsia="宋体" w:cs="宋体"/>
          <w:b w:val="0"/>
          <w:color w:val="000000"/>
          <w:spacing w:val="9"/>
          <w:sz w:val="24"/>
          <w:szCs w:val="24"/>
          <w:shd w:val="clear" w:color="auto" w:fill="FFFFFF"/>
          <w:lang w:val="en-US" w:eastAsia="zh-CN"/>
        </w:rPr>
        <w:t>1</w:t>
      </w:r>
      <w:r>
        <w:rPr>
          <w:rStyle w:val="7"/>
          <w:rFonts w:hint="eastAsia" w:ascii="宋体" w:hAnsi="宋体" w:eastAsia="宋体" w:cs="宋体"/>
          <w:b w:val="0"/>
          <w:color w:val="000000"/>
          <w:spacing w:val="9"/>
          <w:sz w:val="24"/>
          <w:szCs w:val="24"/>
          <w:shd w:val="clear" w:color="auto" w:fill="FFFFFF"/>
        </w:rPr>
        <w:t>学期选课期间，通过教务系统在公选课中选课即可。</w:t>
      </w:r>
    </w:p>
    <w:p w14:paraId="064F28E3">
      <w:pPr>
        <w:pStyle w:val="10"/>
        <w:spacing w:before="96" w:beforeLines="40" w:after="96" w:afterLines="40" w:line="440" w:lineRule="exact"/>
        <w:ind w:firstLine="518"/>
        <w:rPr>
          <w:rStyle w:val="7"/>
          <w:rFonts w:ascii="宋体" w:hAnsi="宋体" w:eastAsia="宋体" w:cs="宋体"/>
          <w:bCs/>
          <w:color w:val="000000"/>
          <w:spacing w:val="9"/>
          <w:sz w:val="24"/>
          <w:szCs w:val="24"/>
          <w:shd w:val="clear" w:color="auto" w:fill="FFFFFF"/>
        </w:rPr>
      </w:pPr>
      <w:r>
        <w:rPr>
          <w:rStyle w:val="7"/>
          <w:rFonts w:hint="eastAsia" w:ascii="宋体" w:hAnsi="宋体" w:eastAsia="宋体" w:cs="宋体"/>
          <w:bCs/>
          <w:color w:val="000000"/>
          <w:spacing w:val="9"/>
          <w:sz w:val="24"/>
          <w:szCs w:val="24"/>
          <w:shd w:val="clear" w:color="auto" w:fill="FFFFFF"/>
        </w:rPr>
        <w:t>七、咨询方式</w:t>
      </w:r>
    </w:p>
    <w:p w14:paraId="7E0FDFC8">
      <w:pPr>
        <w:pStyle w:val="10"/>
        <w:spacing w:before="96" w:beforeLines="40" w:after="96" w:afterLines="40" w:line="440" w:lineRule="exact"/>
        <w:ind w:firstLine="516"/>
      </w:pPr>
      <w:r>
        <w:rPr>
          <w:rStyle w:val="7"/>
          <w:rFonts w:hint="eastAsia" w:ascii="宋体" w:hAnsi="宋体" w:eastAsia="宋体" w:cs="宋体"/>
          <w:b w:val="0"/>
          <w:color w:val="000000"/>
          <w:spacing w:val="9"/>
          <w:sz w:val="24"/>
          <w:szCs w:val="24"/>
          <w:shd w:val="clear" w:color="auto" w:fill="FFFFFF"/>
        </w:rPr>
        <w:t>财税学院数字税收微专业管理教师：</w:t>
      </w:r>
      <w:r>
        <w:rPr>
          <w:rStyle w:val="7"/>
          <w:rFonts w:hint="eastAsia" w:ascii="宋体" w:hAnsi="宋体" w:eastAsia="宋体" w:cs="宋体"/>
          <w:b w:val="0"/>
          <w:color w:val="000000"/>
          <w:spacing w:val="9"/>
          <w:sz w:val="24"/>
          <w:szCs w:val="24"/>
          <w:shd w:val="clear" w:color="auto" w:fill="FFFFFF"/>
          <w:lang w:val="en-US" w:eastAsia="zh-CN"/>
        </w:rPr>
        <w:t>何老师，电话：87081608，办公地点：格致楼814</w:t>
      </w:r>
    </w:p>
    <w:sectPr>
      <w:pgSz w:w="11906" w:h="16838"/>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YmRmM2FjYWE2ZjMyZDdjMjZkYTMxOTAwNzUyMjcifQ=="/>
  </w:docVars>
  <w:rsids>
    <w:rsidRoot w:val="00D43E5A"/>
    <w:rsid w:val="000007B9"/>
    <w:rsid w:val="00000CBD"/>
    <w:rsid w:val="00005C87"/>
    <w:rsid w:val="00007856"/>
    <w:rsid w:val="00011188"/>
    <w:rsid w:val="000208F0"/>
    <w:rsid w:val="00021D4E"/>
    <w:rsid w:val="00031158"/>
    <w:rsid w:val="000327A1"/>
    <w:rsid w:val="00034A63"/>
    <w:rsid w:val="0003734B"/>
    <w:rsid w:val="00040556"/>
    <w:rsid w:val="000530BC"/>
    <w:rsid w:val="000536A8"/>
    <w:rsid w:val="00062579"/>
    <w:rsid w:val="00083BAF"/>
    <w:rsid w:val="000A1772"/>
    <w:rsid w:val="000B2D61"/>
    <w:rsid w:val="000D058E"/>
    <w:rsid w:val="000D5422"/>
    <w:rsid w:val="000E3995"/>
    <w:rsid w:val="000E4D1A"/>
    <w:rsid w:val="000F107C"/>
    <w:rsid w:val="00106BC5"/>
    <w:rsid w:val="00111515"/>
    <w:rsid w:val="00140AAF"/>
    <w:rsid w:val="00147168"/>
    <w:rsid w:val="001900B5"/>
    <w:rsid w:val="001A3107"/>
    <w:rsid w:val="001B19D2"/>
    <w:rsid w:val="001C5771"/>
    <w:rsid w:val="001E37C8"/>
    <w:rsid w:val="00202BC5"/>
    <w:rsid w:val="00214B62"/>
    <w:rsid w:val="00217C6E"/>
    <w:rsid w:val="002246BD"/>
    <w:rsid w:val="00231EF8"/>
    <w:rsid w:val="00252317"/>
    <w:rsid w:val="00263B6B"/>
    <w:rsid w:val="00264E75"/>
    <w:rsid w:val="00276C65"/>
    <w:rsid w:val="0028160E"/>
    <w:rsid w:val="00292745"/>
    <w:rsid w:val="0029321A"/>
    <w:rsid w:val="002A0702"/>
    <w:rsid w:val="002B66E0"/>
    <w:rsid w:val="002E5EC8"/>
    <w:rsid w:val="002E70F0"/>
    <w:rsid w:val="002E7181"/>
    <w:rsid w:val="002F6976"/>
    <w:rsid w:val="00300B90"/>
    <w:rsid w:val="00314DDF"/>
    <w:rsid w:val="00321FEE"/>
    <w:rsid w:val="00324CAD"/>
    <w:rsid w:val="003350DF"/>
    <w:rsid w:val="00347DDD"/>
    <w:rsid w:val="00353D39"/>
    <w:rsid w:val="00361D3A"/>
    <w:rsid w:val="003620B3"/>
    <w:rsid w:val="00364654"/>
    <w:rsid w:val="003670E3"/>
    <w:rsid w:val="00395D1F"/>
    <w:rsid w:val="003B3C9C"/>
    <w:rsid w:val="003C570A"/>
    <w:rsid w:val="003D68A2"/>
    <w:rsid w:val="003F1999"/>
    <w:rsid w:val="003F7560"/>
    <w:rsid w:val="003F7705"/>
    <w:rsid w:val="0042496A"/>
    <w:rsid w:val="00425CF6"/>
    <w:rsid w:val="004312A3"/>
    <w:rsid w:val="00434D14"/>
    <w:rsid w:val="00435251"/>
    <w:rsid w:val="00444DDA"/>
    <w:rsid w:val="004672E8"/>
    <w:rsid w:val="0048148F"/>
    <w:rsid w:val="0048176D"/>
    <w:rsid w:val="00481AD8"/>
    <w:rsid w:val="004830E4"/>
    <w:rsid w:val="00483564"/>
    <w:rsid w:val="004B025E"/>
    <w:rsid w:val="004B6411"/>
    <w:rsid w:val="004C2E23"/>
    <w:rsid w:val="004D3D2F"/>
    <w:rsid w:val="004D5764"/>
    <w:rsid w:val="004E19E8"/>
    <w:rsid w:val="004E1F2E"/>
    <w:rsid w:val="004F645A"/>
    <w:rsid w:val="005170DC"/>
    <w:rsid w:val="00522AA3"/>
    <w:rsid w:val="00534527"/>
    <w:rsid w:val="00561D60"/>
    <w:rsid w:val="0057140D"/>
    <w:rsid w:val="00576B79"/>
    <w:rsid w:val="005875CF"/>
    <w:rsid w:val="00596CB0"/>
    <w:rsid w:val="005A2E1F"/>
    <w:rsid w:val="005A3409"/>
    <w:rsid w:val="005C10B9"/>
    <w:rsid w:val="005C6272"/>
    <w:rsid w:val="005F0AD0"/>
    <w:rsid w:val="005F3CD7"/>
    <w:rsid w:val="006015E1"/>
    <w:rsid w:val="00611171"/>
    <w:rsid w:val="00620925"/>
    <w:rsid w:val="00630291"/>
    <w:rsid w:val="0064265D"/>
    <w:rsid w:val="006574B5"/>
    <w:rsid w:val="006620C7"/>
    <w:rsid w:val="006645F5"/>
    <w:rsid w:val="00670100"/>
    <w:rsid w:val="00670257"/>
    <w:rsid w:val="00671D67"/>
    <w:rsid w:val="00684748"/>
    <w:rsid w:val="006B7138"/>
    <w:rsid w:val="006C1FF5"/>
    <w:rsid w:val="006E2344"/>
    <w:rsid w:val="006E5E53"/>
    <w:rsid w:val="006E7363"/>
    <w:rsid w:val="006F0966"/>
    <w:rsid w:val="00714BA6"/>
    <w:rsid w:val="007244D3"/>
    <w:rsid w:val="00725FB2"/>
    <w:rsid w:val="0074192C"/>
    <w:rsid w:val="00742D2B"/>
    <w:rsid w:val="00744C6F"/>
    <w:rsid w:val="007616CA"/>
    <w:rsid w:val="00773A2E"/>
    <w:rsid w:val="007956C4"/>
    <w:rsid w:val="007A02C0"/>
    <w:rsid w:val="007B46EB"/>
    <w:rsid w:val="007C63B2"/>
    <w:rsid w:val="007D011D"/>
    <w:rsid w:val="007E2A7F"/>
    <w:rsid w:val="00842683"/>
    <w:rsid w:val="008612AB"/>
    <w:rsid w:val="008644F0"/>
    <w:rsid w:val="00870832"/>
    <w:rsid w:val="008746D4"/>
    <w:rsid w:val="0087523F"/>
    <w:rsid w:val="00887358"/>
    <w:rsid w:val="008B4891"/>
    <w:rsid w:val="008B5CA4"/>
    <w:rsid w:val="008E60C1"/>
    <w:rsid w:val="00902ED6"/>
    <w:rsid w:val="00903DCF"/>
    <w:rsid w:val="00905184"/>
    <w:rsid w:val="009129C4"/>
    <w:rsid w:val="00916E1D"/>
    <w:rsid w:val="00917576"/>
    <w:rsid w:val="0093110C"/>
    <w:rsid w:val="0093757D"/>
    <w:rsid w:val="00955AB3"/>
    <w:rsid w:val="00963892"/>
    <w:rsid w:val="009711E0"/>
    <w:rsid w:val="009846C5"/>
    <w:rsid w:val="009A4D70"/>
    <w:rsid w:val="009A7ED4"/>
    <w:rsid w:val="009D0ED8"/>
    <w:rsid w:val="009D474C"/>
    <w:rsid w:val="009E3736"/>
    <w:rsid w:val="009E6A3B"/>
    <w:rsid w:val="009F1D9D"/>
    <w:rsid w:val="00A01213"/>
    <w:rsid w:val="00A02284"/>
    <w:rsid w:val="00A04F38"/>
    <w:rsid w:val="00A0680E"/>
    <w:rsid w:val="00A312CA"/>
    <w:rsid w:val="00A32CB2"/>
    <w:rsid w:val="00A45D9B"/>
    <w:rsid w:val="00A61A01"/>
    <w:rsid w:val="00A70C30"/>
    <w:rsid w:val="00A7468D"/>
    <w:rsid w:val="00A819C6"/>
    <w:rsid w:val="00AA4220"/>
    <w:rsid w:val="00AA6F9B"/>
    <w:rsid w:val="00AC4802"/>
    <w:rsid w:val="00AD3C16"/>
    <w:rsid w:val="00AD5AEF"/>
    <w:rsid w:val="00AE19B9"/>
    <w:rsid w:val="00AE4484"/>
    <w:rsid w:val="00AF12B1"/>
    <w:rsid w:val="00AF3D04"/>
    <w:rsid w:val="00B104CB"/>
    <w:rsid w:val="00B15B1B"/>
    <w:rsid w:val="00B2059F"/>
    <w:rsid w:val="00B44819"/>
    <w:rsid w:val="00B44F70"/>
    <w:rsid w:val="00B61EAA"/>
    <w:rsid w:val="00B6484C"/>
    <w:rsid w:val="00B774D2"/>
    <w:rsid w:val="00B801D3"/>
    <w:rsid w:val="00BA4448"/>
    <w:rsid w:val="00BE1500"/>
    <w:rsid w:val="00BE5688"/>
    <w:rsid w:val="00BF5649"/>
    <w:rsid w:val="00C14ED7"/>
    <w:rsid w:val="00C367A0"/>
    <w:rsid w:val="00C52651"/>
    <w:rsid w:val="00C5360E"/>
    <w:rsid w:val="00C64EA5"/>
    <w:rsid w:val="00C72A79"/>
    <w:rsid w:val="00C77405"/>
    <w:rsid w:val="00C77A8B"/>
    <w:rsid w:val="00C80446"/>
    <w:rsid w:val="00C8314C"/>
    <w:rsid w:val="00C83A44"/>
    <w:rsid w:val="00CA25A9"/>
    <w:rsid w:val="00CA444A"/>
    <w:rsid w:val="00CC34E6"/>
    <w:rsid w:val="00D05BBB"/>
    <w:rsid w:val="00D10605"/>
    <w:rsid w:val="00D43E5A"/>
    <w:rsid w:val="00D53A82"/>
    <w:rsid w:val="00D643BC"/>
    <w:rsid w:val="00D67A65"/>
    <w:rsid w:val="00D75CC7"/>
    <w:rsid w:val="00D82FBE"/>
    <w:rsid w:val="00D90212"/>
    <w:rsid w:val="00D913F8"/>
    <w:rsid w:val="00D969E7"/>
    <w:rsid w:val="00DB72C4"/>
    <w:rsid w:val="00DC2A6C"/>
    <w:rsid w:val="00DE0D71"/>
    <w:rsid w:val="00DF4D83"/>
    <w:rsid w:val="00DF60C3"/>
    <w:rsid w:val="00DF7A8C"/>
    <w:rsid w:val="00E044F4"/>
    <w:rsid w:val="00E2501A"/>
    <w:rsid w:val="00E47DDC"/>
    <w:rsid w:val="00E553BF"/>
    <w:rsid w:val="00E56BFB"/>
    <w:rsid w:val="00E70009"/>
    <w:rsid w:val="00E708E8"/>
    <w:rsid w:val="00E961CC"/>
    <w:rsid w:val="00E96860"/>
    <w:rsid w:val="00EA40CC"/>
    <w:rsid w:val="00EB082F"/>
    <w:rsid w:val="00EC1A08"/>
    <w:rsid w:val="00EC2285"/>
    <w:rsid w:val="00EC5BF4"/>
    <w:rsid w:val="00ED6344"/>
    <w:rsid w:val="00F037A6"/>
    <w:rsid w:val="00F1733D"/>
    <w:rsid w:val="00F173BB"/>
    <w:rsid w:val="00F35345"/>
    <w:rsid w:val="00F5264C"/>
    <w:rsid w:val="00F5616B"/>
    <w:rsid w:val="00FC230E"/>
    <w:rsid w:val="00FC42C3"/>
    <w:rsid w:val="00FE220F"/>
    <w:rsid w:val="0D54270C"/>
    <w:rsid w:val="10776A03"/>
    <w:rsid w:val="10F85DCE"/>
    <w:rsid w:val="135D3E5F"/>
    <w:rsid w:val="1F4351D8"/>
    <w:rsid w:val="22683FDB"/>
    <w:rsid w:val="371F5B92"/>
    <w:rsid w:val="3E985188"/>
    <w:rsid w:val="41FC66A5"/>
    <w:rsid w:val="41FD3625"/>
    <w:rsid w:val="49E02B4D"/>
    <w:rsid w:val="4A1F5A6C"/>
    <w:rsid w:val="5506741F"/>
    <w:rsid w:val="57D10AD2"/>
    <w:rsid w:val="5DD750EB"/>
    <w:rsid w:val="65DE38C2"/>
    <w:rsid w:val="73443606"/>
    <w:rsid w:val="7EE07DCE"/>
    <w:rsid w:val="7FA06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37381be6-6b28-4dee-9549-61238ea62584}">
  <ds:schemaRefs/>
</ds:datastoreItem>
</file>

<file path=docProps/app.xml><?xml version="1.0" encoding="utf-8"?>
<Properties xmlns="http://schemas.openxmlformats.org/officeDocument/2006/extended-properties" xmlns:vt="http://schemas.openxmlformats.org/officeDocument/2006/docPropsVTypes">
  <Template>Normal.dotm</Template>
  <Pages>2</Pages>
  <Words>991</Words>
  <Characters>1038</Characters>
  <Lines>7</Lines>
  <Paragraphs>2</Paragraphs>
  <TotalTime>1</TotalTime>
  <ScaleCrop>false</ScaleCrop>
  <LinksUpToDate>false</LinksUpToDate>
  <CharactersWithSpaces>1038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2024-12-20T06:31:00Z</dcterms:created>
  <dc:creator>李娜</dc:creator>
  <cp:lastModifiedBy>伽蓝</cp:lastModifiedBy>
  <dcterms:modified xsi:type="dcterms:W3CDTF">2026-06-12T01:10:18Z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81B04076E50048EBABE98558E7776A91_13</vt:lpwstr>
  </property>
  <property fmtid="{D5CDD505-2E9C-101B-9397-08002B2CF9AE}" pid="4" name="KSOTemplateDocerSaveRecord">
    <vt:lpwstr>eyJoZGlkIjoiOGJkYmRmM2FjYWE2ZjMyZDdjMjZkYTMxOTAwNzUyMjciLCJ1c2VySWQiOiI0Mjc0OTIyNjUifQ==</vt:lpwstr>
  </property>
</Properties>
</file>