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FEB5A">
      <w:pPr>
        <w:jc w:val="center"/>
        <w:rPr>
          <w:rFonts w:hint="eastAsia" w:ascii="Times New Roman" w:hAnsi="Times New Roman" w:eastAsia="宋体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宋体"/>
          <w:b/>
          <w:bCs/>
          <w:sz w:val="32"/>
          <w:szCs w:val="32"/>
          <w:lang w:val="en-US" w:eastAsia="zh-CN"/>
        </w:rPr>
        <w:t>会计学院</w:t>
      </w:r>
      <w:r>
        <w:rPr>
          <w:rFonts w:hint="eastAsia" w:ascii="Times New Roman" w:hAnsi="Times New Roman" w:eastAsia="宋体"/>
          <w:b/>
          <w:bCs/>
          <w:sz w:val="32"/>
          <w:szCs w:val="32"/>
        </w:rPr>
        <w:t>新财经学术思维与论文写作微专业</w:t>
      </w:r>
      <w:r>
        <w:rPr>
          <w:rFonts w:hint="eastAsia" w:ascii="Times New Roman" w:hAnsi="Times New Roman" w:eastAsia="宋体"/>
          <w:b/>
          <w:bCs/>
          <w:sz w:val="32"/>
          <w:szCs w:val="32"/>
          <w:lang w:val="en-US" w:eastAsia="zh-CN"/>
        </w:rPr>
        <w:t>简介</w:t>
      </w:r>
    </w:p>
    <w:p w14:paraId="1AD49219">
      <w:pPr>
        <w:ind w:firstLine="420" w:firstLineChars="200"/>
        <w:rPr>
          <w:rFonts w:ascii="Times New Roman" w:hAnsi="Times New Roman" w:eastAsia="宋体"/>
        </w:rPr>
      </w:pPr>
    </w:p>
    <w:p w14:paraId="660E04B9">
      <w:pPr>
        <w:spacing w:line="360" w:lineRule="auto"/>
        <w:ind w:firstLine="482" w:firstLineChars="200"/>
        <w:rPr>
          <w:rFonts w:hint="eastAsia" w:ascii="Times New Roman" w:hAnsi="Times New Roman" w:eastAsia="宋体"/>
          <w:b/>
          <w:sz w:val="24"/>
          <w:szCs w:val="24"/>
          <w:lang w:eastAsia="zh-CN"/>
        </w:rPr>
      </w:pPr>
      <w:r>
        <w:rPr>
          <w:rFonts w:hint="eastAsia" w:ascii="Times New Roman" w:hAnsi="Times New Roman" w:eastAsia="宋体"/>
          <w:b/>
          <w:sz w:val="24"/>
          <w:szCs w:val="24"/>
          <w:lang w:val="en-US" w:eastAsia="zh-CN"/>
        </w:rPr>
        <w:t>一</w:t>
      </w:r>
      <w:r>
        <w:rPr>
          <w:rFonts w:ascii="Times New Roman" w:hAnsi="Times New Roman" w:eastAsia="宋体"/>
          <w:b/>
          <w:sz w:val="24"/>
          <w:szCs w:val="24"/>
        </w:rPr>
        <w:t>、</w:t>
      </w:r>
      <w:r>
        <w:rPr>
          <w:rFonts w:hint="eastAsia" w:ascii="Times New Roman" w:hAnsi="Times New Roman" w:eastAsia="宋体"/>
          <w:b/>
          <w:sz w:val="24"/>
          <w:szCs w:val="24"/>
          <w:lang w:val="en-US" w:eastAsia="zh-CN"/>
        </w:rPr>
        <w:t>专业概况</w:t>
      </w:r>
    </w:p>
    <w:p w14:paraId="753B14F5">
      <w:pPr>
        <w:spacing w:line="360" w:lineRule="auto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新财经学术思维与论文写作微专业包括理论</w:t>
      </w:r>
      <w:r>
        <w:rPr>
          <w:rFonts w:ascii="Times New Roman" w:hAnsi="Times New Roman" w:eastAsia="宋体"/>
          <w:sz w:val="24"/>
          <w:szCs w:val="24"/>
        </w:rPr>
        <w:t>基础、</w:t>
      </w:r>
      <w:r>
        <w:rPr>
          <w:rFonts w:hint="eastAsia" w:ascii="Times New Roman" w:hAnsi="Times New Roman" w:eastAsia="宋体"/>
          <w:sz w:val="24"/>
          <w:szCs w:val="24"/>
        </w:rPr>
        <w:t>经典</w:t>
      </w:r>
      <w:r>
        <w:rPr>
          <w:rFonts w:ascii="Times New Roman" w:hAnsi="Times New Roman" w:eastAsia="宋体"/>
          <w:sz w:val="24"/>
          <w:szCs w:val="24"/>
        </w:rPr>
        <w:t>研究专题、</w:t>
      </w:r>
      <w:r>
        <w:rPr>
          <w:rFonts w:hint="eastAsia" w:ascii="Times New Roman" w:hAnsi="Times New Roman" w:eastAsia="宋体"/>
          <w:sz w:val="24"/>
          <w:szCs w:val="24"/>
        </w:rPr>
        <w:t>公司</w:t>
      </w:r>
      <w:r>
        <w:rPr>
          <w:rFonts w:ascii="Times New Roman" w:hAnsi="Times New Roman" w:eastAsia="宋体"/>
          <w:sz w:val="24"/>
          <w:szCs w:val="24"/>
        </w:rPr>
        <w:t>治理研究专题、计量方法和谋篇布局</w:t>
      </w:r>
      <w:r>
        <w:rPr>
          <w:rFonts w:hint="eastAsia" w:ascii="Times New Roman" w:hAnsi="Times New Roman" w:eastAsia="宋体"/>
          <w:sz w:val="24"/>
          <w:szCs w:val="24"/>
        </w:rPr>
        <w:t>五</w:t>
      </w:r>
      <w:r>
        <w:rPr>
          <w:rFonts w:ascii="Times New Roman" w:hAnsi="Times New Roman" w:eastAsia="宋体"/>
          <w:sz w:val="24"/>
          <w:szCs w:val="24"/>
        </w:rPr>
        <w:t>大模块</w:t>
      </w:r>
      <w:r>
        <w:rPr>
          <w:rFonts w:hint="eastAsia" w:ascii="Times New Roman" w:hAnsi="Times New Roman" w:eastAsia="宋体"/>
          <w:sz w:val="24"/>
          <w:szCs w:val="24"/>
        </w:rPr>
        <w:t>。</w:t>
      </w:r>
    </w:p>
    <w:p w14:paraId="291881CA">
      <w:pPr>
        <w:spacing w:line="360" w:lineRule="auto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理论基础模块</w:t>
      </w:r>
      <w:r>
        <w:rPr>
          <w:rFonts w:ascii="Times New Roman" w:hAnsi="Times New Roman" w:eastAsia="宋体"/>
          <w:sz w:val="24"/>
          <w:szCs w:val="24"/>
        </w:rPr>
        <w:t>旨在培养学生理论思维，构建智能文献网络，夯实学术基础。</w:t>
      </w:r>
      <w:r>
        <w:rPr>
          <w:rFonts w:hint="eastAsia" w:ascii="Times New Roman" w:hAnsi="Times New Roman" w:eastAsia="宋体"/>
          <w:sz w:val="24"/>
          <w:szCs w:val="24"/>
        </w:rPr>
        <w:t>通过搭载</w:t>
      </w:r>
      <w:r>
        <w:rPr>
          <w:rFonts w:ascii="Times New Roman" w:hAnsi="Times New Roman" w:eastAsia="宋体"/>
          <w:sz w:val="24"/>
          <w:szCs w:val="24"/>
        </w:rPr>
        <w:t>AI智慧课堂，应用文献计量学算法构建</w:t>
      </w:r>
      <w:r>
        <w:rPr>
          <w:rFonts w:ascii="宋体" w:hAnsi="宋体" w:eastAsia="宋体"/>
          <w:sz w:val="24"/>
          <w:szCs w:val="24"/>
        </w:rPr>
        <w:t>“理论演化地图”</w:t>
      </w:r>
      <w:r>
        <w:rPr>
          <w:rFonts w:ascii="Times New Roman" w:hAnsi="Times New Roman" w:eastAsia="宋体"/>
          <w:sz w:val="24"/>
          <w:szCs w:val="24"/>
        </w:rPr>
        <w:t>，动态展示学科理论发展轨迹。搭建智能文献推荐引擎，根据学习进度精准推送经典文献与前沿论文。开发理论关联度分析模型，自动揭示不同理论的逻辑关系与争议焦点。</w:t>
      </w:r>
    </w:p>
    <w:p w14:paraId="429B7C04">
      <w:pPr>
        <w:spacing w:line="360" w:lineRule="auto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经典研究</w:t>
      </w:r>
      <w:r>
        <w:rPr>
          <w:rFonts w:ascii="Times New Roman" w:hAnsi="Times New Roman" w:eastAsia="宋体"/>
          <w:sz w:val="24"/>
          <w:szCs w:val="24"/>
        </w:rPr>
        <w:t>专题</w:t>
      </w:r>
      <w:r>
        <w:rPr>
          <w:rFonts w:hint="eastAsia" w:ascii="Times New Roman" w:hAnsi="Times New Roman" w:eastAsia="宋体"/>
          <w:sz w:val="24"/>
          <w:szCs w:val="24"/>
        </w:rPr>
        <w:t>和</w:t>
      </w:r>
      <w:r>
        <w:rPr>
          <w:rFonts w:ascii="Times New Roman" w:hAnsi="Times New Roman" w:eastAsia="宋体"/>
          <w:sz w:val="24"/>
          <w:szCs w:val="24"/>
        </w:rPr>
        <w:t>公司治理研究专题模块</w:t>
      </w:r>
      <w:r>
        <w:rPr>
          <w:rFonts w:hint="eastAsia" w:ascii="Times New Roman" w:hAnsi="Times New Roman" w:eastAsia="宋体"/>
          <w:sz w:val="24"/>
          <w:szCs w:val="24"/>
        </w:rPr>
        <w:t>，高效匹配不同专业学生研究需求，提升学生专业认知力。课程通过构建动态数据包，聚焦前沿领域，锻造问题导向的研究能力。建立“传统</w:t>
      </w:r>
      <w:r>
        <w:rPr>
          <w:rFonts w:hint="eastAsia" w:ascii="Times New Roman" w:hAnsi="Times New Roman" w:eastAsia="宋体"/>
          <w:sz w:val="24"/>
          <w:szCs w:val="24"/>
          <w:lang w:eastAsia="zh-CN"/>
        </w:rPr>
        <w:t>－</w:t>
      </w:r>
      <w:r>
        <w:rPr>
          <w:rFonts w:ascii="Times New Roman" w:hAnsi="Times New Roman" w:eastAsia="宋体"/>
          <w:sz w:val="24"/>
          <w:szCs w:val="24"/>
        </w:rPr>
        <w:t>前</w:t>
      </w:r>
      <w:r>
        <w:rPr>
          <w:rFonts w:ascii="宋体" w:hAnsi="宋体" w:eastAsia="宋体"/>
          <w:sz w:val="24"/>
          <w:szCs w:val="24"/>
        </w:rPr>
        <w:t>沿”双</w:t>
      </w:r>
      <w:r>
        <w:rPr>
          <w:rFonts w:ascii="Times New Roman" w:hAnsi="Times New Roman" w:eastAsia="宋体"/>
          <w:sz w:val="24"/>
          <w:szCs w:val="24"/>
        </w:rPr>
        <w:t>轨制专题矩阵，涵盖</w:t>
      </w:r>
      <w:r>
        <w:rPr>
          <w:rFonts w:ascii="宋体" w:hAnsi="宋体" w:eastAsia="宋体"/>
          <w:sz w:val="24"/>
          <w:szCs w:val="24"/>
        </w:rPr>
        <w:t>“企业信息披露、盈余管理、高管薪酬激励”等传统研究领域和“数字经济、企业数据资产、公共数据资源”等</w:t>
      </w:r>
      <w:r>
        <w:rPr>
          <w:rFonts w:ascii="Times New Roman" w:hAnsi="Times New Roman" w:eastAsia="宋体"/>
          <w:sz w:val="24"/>
          <w:szCs w:val="24"/>
        </w:rPr>
        <w:t>前沿研究领域。</w:t>
      </w:r>
    </w:p>
    <w:p w14:paraId="7D4741A8">
      <w:pPr>
        <w:spacing w:line="360" w:lineRule="auto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计量</w:t>
      </w:r>
      <w:r>
        <w:rPr>
          <w:rFonts w:ascii="Times New Roman" w:hAnsi="Times New Roman" w:eastAsia="宋体"/>
          <w:sz w:val="24"/>
          <w:szCs w:val="24"/>
        </w:rPr>
        <w:t>方法模块</w:t>
      </w:r>
      <w:r>
        <w:rPr>
          <w:rFonts w:hint="eastAsia" w:ascii="Times New Roman" w:hAnsi="Times New Roman" w:eastAsia="宋体"/>
          <w:sz w:val="24"/>
          <w:szCs w:val="24"/>
        </w:rPr>
        <w:t>从计量基础到软件应用，全流程辅助，助力提高学生实证研究能力。课程构建代码实验室，贯通计量方法论，破解实证研究技术壁垒。设计“基础统计</w:t>
      </w:r>
      <w:r>
        <w:rPr>
          <w:rFonts w:hint="eastAsia" w:ascii="Times New Roman" w:hAnsi="Times New Roman" w:eastAsia="宋体"/>
          <w:sz w:val="24"/>
          <w:szCs w:val="24"/>
          <w:lang w:eastAsia="zh-CN"/>
        </w:rPr>
        <w:t>－</w:t>
      </w:r>
      <w:r>
        <w:rPr>
          <w:rFonts w:ascii="Times New Roman" w:hAnsi="Times New Roman" w:eastAsia="宋体"/>
          <w:sz w:val="24"/>
          <w:szCs w:val="24"/>
        </w:rPr>
        <w:t>计量模型-机器学</w:t>
      </w:r>
      <w:r>
        <w:rPr>
          <w:rFonts w:ascii="宋体" w:hAnsi="宋体" w:eastAsia="宋体"/>
          <w:sz w:val="24"/>
          <w:szCs w:val="24"/>
        </w:rPr>
        <w:t>习”三</w:t>
      </w:r>
      <w:r>
        <w:rPr>
          <w:rFonts w:ascii="Times New Roman" w:hAnsi="Times New Roman" w:eastAsia="宋体"/>
          <w:sz w:val="24"/>
          <w:szCs w:val="24"/>
        </w:rPr>
        <w:t>级进阶体系，涵盖DID、RDD、文本分析等主流方法。</w:t>
      </w:r>
    </w:p>
    <w:p w14:paraId="422D9721">
      <w:pPr>
        <w:spacing w:line="360" w:lineRule="auto"/>
        <w:ind w:firstLine="480" w:firstLineChars="200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谋篇布局</w:t>
      </w:r>
      <w:r>
        <w:rPr>
          <w:rFonts w:ascii="Times New Roman" w:hAnsi="Times New Roman" w:eastAsia="宋体"/>
          <w:sz w:val="24"/>
          <w:szCs w:val="24"/>
        </w:rPr>
        <w:t>模块</w:t>
      </w:r>
      <w:r>
        <w:rPr>
          <w:rFonts w:hint="eastAsia" w:ascii="Times New Roman" w:hAnsi="Times New Roman" w:eastAsia="宋体"/>
          <w:sz w:val="24"/>
          <w:szCs w:val="24"/>
        </w:rPr>
        <w:t>贯通学术写作全链条，旨在提高学生写作的逻辑性、规范性和可读性。搭建论文写作基因库，解构国内外顶级期刊论文的叙事逻辑和写作范式，提供“摘要</w:t>
      </w:r>
      <w:r>
        <w:rPr>
          <w:rFonts w:ascii="Times New Roman" w:hAnsi="Times New Roman" w:eastAsia="宋体"/>
          <w:sz w:val="24"/>
          <w:szCs w:val="24"/>
        </w:rPr>
        <w:t>-引言-文献综述-理论分析与假设-实证研究-结论与启示</w:t>
      </w:r>
      <w:r>
        <w:rPr>
          <w:rFonts w:ascii="宋体" w:hAnsi="宋体" w:eastAsia="宋体"/>
          <w:sz w:val="24"/>
          <w:szCs w:val="24"/>
        </w:rPr>
        <w:t>”</w:t>
      </w:r>
      <w:r>
        <w:rPr>
          <w:rFonts w:ascii="Times New Roman" w:hAnsi="Times New Roman" w:eastAsia="宋体"/>
          <w:sz w:val="24"/>
          <w:szCs w:val="24"/>
        </w:rPr>
        <w:t>全流程解析。</w:t>
      </w:r>
    </w:p>
    <w:p w14:paraId="7E129F5D">
      <w:pPr>
        <w:spacing w:line="360" w:lineRule="auto"/>
        <w:ind w:firstLine="482" w:firstLineChars="200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  <w:lang w:val="en-US" w:eastAsia="zh-CN"/>
        </w:rPr>
        <w:t>二</w:t>
      </w:r>
      <w:r>
        <w:rPr>
          <w:rFonts w:ascii="Times New Roman" w:hAnsi="Times New Roman" w:eastAsia="宋体"/>
          <w:b/>
          <w:sz w:val="24"/>
          <w:szCs w:val="24"/>
        </w:rPr>
        <w:t>、</w:t>
      </w:r>
      <w:r>
        <w:rPr>
          <w:rFonts w:hint="eastAsia" w:ascii="Times New Roman" w:hAnsi="Times New Roman" w:eastAsia="宋体"/>
          <w:b/>
          <w:sz w:val="24"/>
          <w:szCs w:val="24"/>
        </w:rPr>
        <w:t>培养目标</w:t>
      </w:r>
    </w:p>
    <w:p w14:paraId="2B78B503">
      <w:pPr>
        <w:pStyle w:val="4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本微专业坚持立德树人，面向智能化学术研究前沿，培养具备以下核心能力的复合型人才：</w:t>
      </w:r>
    </w:p>
    <w:p w14:paraId="50C5023D">
      <w:pPr>
        <w:pStyle w:val="4"/>
        <w:numPr>
          <w:ilvl w:val="0"/>
          <w:numId w:val="1"/>
        </w:numPr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思想引领：坚定拥护中国共产党领导，践行社会主义核心价值观，恪守学术道德与职业规范。</w:t>
      </w:r>
    </w:p>
    <w:p w14:paraId="30F3C94F">
      <w:pPr>
        <w:pStyle w:val="4"/>
        <w:numPr>
          <w:ilvl w:val="0"/>
          <w:numId w:val="1"/>
        </w:numPr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学术根基：系统掌握学科研究范式、写作规范与计量方法，具备独立设计与开展研究的能力。</w:t>
      </w:r>
    </w:p>
    <w:p w14:paraId="137EABCD">
      <w:pPr>
        <w:pStyle w:val="4"/>
        <w:numPr>
          <w:ilvl w:val="0"/>
          <w:numId w:val="1"/>
        </w:numPr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技术驾驭：精通</w:t>
      </w:r>
      <w:r>
        <w:rPr>
          <w:rFonts w:ascii="Times New Roman" w:hAnsi="Times New Roman" w:eastAsia="宋体"/>
          <w:sz w:val="24"/>
          <w:szCs w:val="24"/>
        </w:rPr>
        <w:t>AI工具优化文献挖掘、数据分析、逻辑构建与学术表达全流程，显著提升研究效率。</w:t>
      </w:r>
    </w:p>
    <w:p w14:paraId="7D91919D">
      <w:pPr>
        <w:pStyle w:val="4"/>
        <w:numPr>
          <w:ilvl w:val="0"/>
          <w:numId w:val="1"/>
        </w:numPr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领域融合：在人文社科、经管实证等场景中，创新应用智能写作技术解决复杂研究问题。</w:t>
      </w:r>
    </w:p>
    <w:p w14:paraId="62ABD368">
      <w:pPr>
        <w:pStyle w:val="4"/>
        <w:numPr>
          <w:ilvl w:val="0"/>
          <w:numId w:val="1"/>
        </w:numPr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终身学习：持续追踪智能写作技术发展，适应全球学术研究范式演进趋势。</w:t>
      </w:r>
    </w:p>
    <w:p w14:paraId="74DA388F">
      <w:pPr>
        <w:spacing w:line="360" w:lineRule="auto"/>
        <w:ind w:firstLine="482" w:firstLineChars="200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三、课程适用人群</w:t>
      </w:r>
    </w:p>
    <w:p w14:paraId="72B8C8D9">
      <w:pPr>
        <w:pStyle w:val="4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需高效完成学位论文、科研项目或学术发表，期望提升写作</w:t>
      </w:r>
      <w:r>
        <w:rPr>
          <w:rFonts w:hint="eastAsia" w:ascii="Times New Roman" w:hAnsi="Times New Roman" w:eastAsia="宋体"/>
          <w:sz w:val="24"/>
          <w:szCs w:val="24"/>
        </w:rPr>
        <w:t>能力</w:t>
      </w:r>
      <w:r>
        <w:rPr>
          <w:rFonts w:ascii="Times New Roman" w:hAnsi="Times New Roman" w:eastAsia="宋体"/>
          <w:sz w:val="24"/>
          <w:szCs w:val="24"/>
        </w:rPr>
        <w:t>的本科生；</w:t>
      </w:r>
    </w:p>
    <w:p w14:paraId="35FE1343">
      <w:pPr>
        <w:pStyle w:val="4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计划在高校、研究机构、智库或科技企业从事学术型工作的跨学科人才；</w:t>
      </w:r>
    </w:p>
    <w:p w14:paraId="6F35B080">
      <w:pPr>
        <w:pStyle w:val="4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具备经济学、管理学、计算机或人文社科背景，致力于构建</w:t>
      </w:r>
      <w:r>
        <w:rPr>
          <w:rFonts w:ascii="宋体" w:hAnsi="宋体" w:eastAsia="宋体"/>
          <w:sz w:val="24"/>
          <w:szCs w:val="24"/>
        </w:rPr>
        <w:t>“学术+技术”</w:t>
      </w:r>
      <w:r>
        <w:rPr>
          <w:rFonts w:ascii="Times New Roman" w:hAnsi="Times New Roman" w:eastAsia="宋体"/>
          <w:sz w:val="24"/>
          <w:szCs w:val="24"/>
        </w:rPr>
        <w:t>双核能力的研究者。</w:t>
      </w:r>
    </w:p>
    <w:p w14:paraId="79C1236B">
      <w:pPr>
        <w:pStyle w:val="4"/>
        <w:spacing w:line="360" w:lineRule="auto"/>
        <w:ind w:firstLine="482" w:firstLineChars="200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>四、学制与认证</w:t>
      </w:r>
    </w:p>
    <w:p w14:paraId="0178C912">
      <w:pPr>
        <w:pStyle w:val="4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《新财经学术思维与论文写作理论</w:t>
      </w:r>
      <w:r>
        <w:rPr>
          <w:rFonts w:ascii="Times New Roman" w:hAnsi="Times New Roman" w:eastAsia="宋体"/>
          <w:sz w:val="24"/>
          <w:szCs w:val="24"/>
        </w:rPr>
        <w:t>基础模块</w:t>
      </w:r>
      <w:r>
        <w:rPr>
          <w:rFonts w:hint="eastAsia" w:ascii="Times New Roman" w:hAnsi="Times New Roman" w:eastAsia="宋体"/>
          <w:sz w:val="24"/>
          <w:szCs w:val="24"/>
          <w:lang w:eastAsia="zh-CN"/>
        </w:rPr>
        <w:t>》（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课程代码：GEC022</w:t>
      </w:r>
      <w:r>
        <w:rPr>
          <w:rFonts w:hint="eastAsia" w:ascii="Times New Roman" w:hAnsi="Times New Roman" w:eastAsia="宋体"/>
          <w:sz w:val="24"/>
          <w:szCs w:val="24"/>
          <w:lang w:eastAsia="zh-CN"/>
        </w:rPr>
        <w:t>）、《</w:t>
      </w:r>
      <w:r>
        <w:rPr>
          <w:rFonts w:hint="eastAsia" w:ascii="Times New Roman" w:hAnsi="Times New Roman" w:eastAsia="宋体"/>
          <w:sz w:val="24"/>
          <w:szCs w:val="24"/>
        </w:rPr>
        <w:t>新财经学术思维与论文写作经典研究</w:t>
      </w:r>
      <w:r>
        <w:rPr>
          <w:rFonts w:ascii="Times New Roman" w:hAnsi="Times New Roman" w:eastAsia="宋体"/>
          <w:sz w:val="24"/>
          <w:szCs w:val="24"/>
        </w:rPr>
        <w:t>专题模块</w:t>
      </w:r>
      <w:r>
        <w:rPr>
          <w:rFonts w:hint="eastAsia" w:ascii="Times New Roman" w:hAnsi="Times New Roman" w:eastAsia="宋体"/>
          <w:sz w:val="24"/>
          <w:szCs w:val="24"/>
          <w:lang w:eastAsia="zh-CN"/>
        </w:rPr>
        <w:t>》（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课程代码：GEC027</w:t>
      </w:r>
      <w:r>
        <w:rPr>
          <w:rFonts w:hint="eastAsia" w:ascii="Times New Roman" w:hAnsi="Times New Roman" w:eastAsia="宋体"/>
          <w:sz w:val="24"/>
          <w:szCs w:val="24"/>
          <w:lang w:eastAsia="zh-CN"/>
        </w:rPr>
        <w:t>）、《</w:t>
      </w:r>
      <w:r>
        <w:rPr>
          <w:rFonts w:hint="eastAsia" w:ascii="Times New Roman" w:hAnsi="Times New Roman" w:eastAsia="宋体"/>
          <w:sz w:val="24"/>
          <w:szCs w:val="24"/>
        </w:rPr>
        <w:t>新财经学术思维与论文写作公司</w:t>
      </w:r>
      <w:r>
        <w:rPr>
          <w:rFonts w:ascii="Times New Roman" w:hAnsi="Times New Roman" w:eastAsia="宋体"/>
          <w:sz w:val="24"/>
          <w:szCs w:val="24"/>
        </w:rPr>
        <w:t>治理研究专题模块</w:t>
      </w:r>
      <w:r>
        <w:rPr>
          <w:rFonts w:hint="eastAsia" w:ascii="Times New Roman" w:hAnsi="Times New Roman" w:eastAsia="宋体"/>
          <w:sz w:val="24"/>
          <w:szCs w:val="24"/>
        </w:rPr>
        <w:t>》</w:t>
      </w:r>
      <w:r>
        <w:rPr>
          <w:rFonts w:hint="eastAsia" w:ascii="Times New Roman" w:hAnsi="Times New Roman" w:eastAsia="宋体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课程代码：GEC026</w:t>
      </w:r>
      <w:r>
        <w:rPr>
          <w:rFonts w:hint="eastAsia" w:ascii="Times New Roman" w:hAnsi="Times New Roman" w:eastAsia="宋体"/>
          <w:sz w:val="24"/>
          <w:szCs w:val="24"/>
          <w:lang w:eastAsia="zh-CN"/>
        </w:rPr>
        <w:t>）、《</w:t>
      </w:r>
      <w:r>
        <w:rPr>
          <w:rFonts w:hint="eastAsia" w:ascii="Times New Roman" w:hAnsi="Times New Roman" w:eastAsia="宋体"/>
          <w:sz w:val="24"/>
          <w:szCs w:val="24"/>
        </w:rPr>
        <w:t>新财经学术思维与论文写作计量</w:t>
      </w:r>
      <w:r>
        <w:rPr>
          <w:rFonts w:ascii="Times New Roman" w:hAnsi="Times New Roman" w:eastAsia="宋体"/>
          <w:sz w:val="24"/>
          <w:szCs w:val="24"/>
        </w:rPr>
        <w:t>方法模块</w:t>
      </w:r>
      <w:r>
        <w:rPr>
          <w:rFonts w:hint="eastAsia" w:ascii="Times New Roman" w:hAnsi="Times New Roman" w:eastAsia="宋体"/>
          <w:sz w:val="24"/>
          <w:szCs w:val="24"/>
          <w:lang w:eastAsia="zh-CN"/>
        </w:rPr>
        <w:t>》（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课程代码：GEC024</w:t>
      </w:r>
      <w:r>
        <w:rPr>
          <w:rFonts w:hint="eastAsia" w:ascii="Times New Roman" w:hAnsi="Times New Roman" w:eastAsia="宋体"/>
          <w:sz w:val="24"/>
          <w:szCs w:val="24"/>
          <w:lang w:eastAsia="zh-CN"/>
        </w:rPr>
        <w:t>）、《</w:t>
      </w:r>
      <w:r>
        <w:rPr>
          <w:rFonts w:hint="eastAsia" w:ascii="Times New Roman" w:hAnsi="Times New Roman" w:eastAsia="宋体"/>
          <w:sz w:val="24"/>
          <w:szCs w:val="24"/>
        </w:rPr>
        <w:t>新财经学术思维与论文写作谋篇</w:t>
      </w:r>
      <w:r>
        <w:rPr>
          <w:rFonts w:ascii="Times New Roman" w:hAnsi="Times New Roman" w:eastAsia="宋体"/>
          <w:sz w:val="24"/>
          <w:szCs w:val="24"/>
        </w:rPr>
        <w:t>布局模块》</w:t>
      </w:r>
      <w:r>
        <w:rPr>
          <w:rFonts w:hint="eastAsia" w:ascii="Times New Roman" w:hAnsi="Times New Roman" w:eastAsia="宋体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课程代码：GEC025</w:t>
      </w:r>
      <w:r>
        <w:rPr>
          <w:rFonts w:hint="eastAsia" w:ascii="Times New Roman" w:hAnsi="Times New Roman" w:eastAsia="宋体"/>
          <w:sz w:val="24"/>
          <w:szCs w:val="24"/>
          <w:lang w:eastAsia="zh-CN"/>
        </w:rPr>
        <w:t>）</w:t>
      </w:r>
      <w:r>
        <w:rPr>
          <w:rFonts w:hint="eastAsia" w:ascii="Times New Roman" w:hAnsi="Times New Roman" w:eastAsia="宋体"/>
          <w:sz w:val="24"/>
          <w:szCs w:val="24"/>
        </w:rPr>
        <w:t>。5</w:t>
      </w:r>
      <w:r>
        <w:rPr>
          <w:rFonts w:ascii="Times New Roman" w:hAnsi="Times New Roman" w:eastAsia="宋体"/>
          <w:sz w:val="24"/>
          <w:szCs w:val="24"/>
        </w:rPr>
        <w:t>门课程分别对应1学分的通识选修课，其他形式及学分的课程不纳入微专业认证。</w:t>
      </w:r>
    </w:p>
    <w:p w14:paraId="11C65B22">
      <w:pPr>
        <w:pStyle w:val="4"/>
        <w:spacing w:line="360" w:lineRule="auto"/>
        <w:rPr>
          <w:rFonts w:ascii="Times New Roman" w:hAnsi="Times New Roman" w:eastAsia="宋体"/>
          <w:sz w:val="24"/>
          <w:szCs w:val="24"/>
        </w:rPr>
      </w:pPr>
      <w:r>
        <w:rPr>
          <w:rFonts w:hint="eastAsia" w:ascii="Times New Roman" w:hAnsi="Times New Roman" w:eastAsia="宋体"/>
          <w:sz w:val="24"/>
          <w:szCs w:val="24"/>
        </w:rPr>
        <w:t>学生学完以上</w:t>
      </w:r>
      <w:r>
        <w:rPr>
          <w:rFonts w:ascii="Times New Roman" w:hAnsi="Times New Roman" w:eastAsia="宋体"/>
          <w:sz w:val="24"/>
          <w:szCs w:val="24"/>
        </w:rPr>
        <w:t>5门课并通过考试，可获得</w:t>
      </w:r>
      <w:r>
        <w:rPr>
          <w:rFonts w:ascii="宋体" w:hAnsi="宋体" w:eastAsia="宋体"/>
          <w:sz w:val="24"/>
          <w:szCs w:val="24"/>
        </w:rPr>
        <w:t>“西南财经大学—</w:t>
      </w:r>
      <w:r>
        <w:rPr>
          <w:rFonts w:hint="eastAsia" w:ascii="宋体" w:hAnsi="宋体" w:eastAsia="宋体"/>
          <w:sz w:val="24"/>
          <w:szCs w:val="24"/>
        </w:rPr>
        <w:t>新财经学术思维与论文写作</w:t>
      </w:r>
      <w:r>
        <w:rPr>
          <w:rFonts w:ascii="宋体" w:hAnsi="宋体" w:eastAsia="宋体"/>
          <w:sz w:val="24"/>
          <w:szCs w:val="24"/>
        </w:rPr>
        <w:t>微专业修读证明”</w:t>
      </w:r>
      <w:r>
        <w:rPr>
          <w:rFonts w:ascii="Times New Roman" w:hAnsi="Times New Roman" w:eastAsia="宋体"/>
          <w:sz w:val="24"/>
          <w:szCs w:val="24"/>
        </w:rPr>
        <w:t>。</w:t>
      </w:r>
    </w:p>
    <w:p w14:paraId="01A2E58C">
      <w:pPr>
        <w:pStyle w:val="4"/>
        <w:spacing w:line="360" w:lineRule="auto"/>
        <w:ind w:firstLine="482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五、招生对象</w:t>
      </w:r>
    </w:p>
    <w:p w14:paraId="614CE1B2">
      <w:pPr>
        <w:pStyle w:val="4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西南财经大学在校本科生（大二下及以上年级本科生）。</w:t>
      </w:r>
    </w:p>
    <w:p w14:paraId="2DBC4F6D">
      <w:pPr>
        <w:pStyle w:val="4"/>
        <w:spacing w:before="124" w:beforeLines="40" w:after="124" w:afterLines="40" w:line="360" w:lineRule="auto"/>
        <w:ind w:left="0" w:leftChars="0" w:firstLine="482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六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报名时间及流程</w:t>
      </w:r>
    </w:p>
    <w:p w14:paraId="28A464BB"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在 </w:t>
      </w:r>
      <w:r>
        <w:rPr>
          <w:rFonts w:ascii="宋体" w:hAnsi="宋体" w:eastAsia="宋体"/>
          <w:b w:val="0"/>
          <w:bCs w:val="0"/>
          <w:sz w:val="24"/>
        </w:rPr>
        <w:t>202</w:t>
      </w:r>
      <w:r>
        <w:rPr>
          <w:rFonts w:hint="eastAsia" w:ascii="宋体" w:hAnsi="宋体" w:eastAsia="宋体"/>
          <w:b w:val="0"/>
          <w:bCs w:val="0"/>
          <w:sz w:val="24"/>
          <w:lang w:val="en-US" w:eastAsia="zh-CN"/>
        </w:rPr>
        <w:t>6</w:t>
      </w:r>
      <w:r>
        <w:rPr>
          <w:rFonts w:ascii="宋体" w:hAnsi="宋体" w:eastAsia="宋体"/>
          <w:b w:val="0"/>
          <w:bCs w:val="0"/>
          <w:sz w:val="24"/>
        </w:rPr>
        <w:t>-202</w:t>
      </w:r>
      <w:r>
        <w:rPr>
          <w:rFonts w:hint="eastAsia" w:ascii="宋体" w:hAnsi="宋体" w:eastAsia="宋体"/>
          <w:b w:val="0"/>
          <w:bCs w:val="0"/>
          <w:sz w:val="24"/>
          <w:lang w:val="en-US" w:eastAsia="zh-CN"/>
        </w:rPr>
        <w:t>7</w:t>
      </w:r>
      <w:r>
        <w:rPr>
          <w:rFonts w:ascii="宋体" w:hAnsi="宋体" w:eastAsia="宋体"/>
          <w:b w:val="0"/>
          <w:bCs w:val="0"/>
          <w:sz w:val="24"/>
        </w:rPr>
        <w:t>-</w:t>
      </w:r>
      <w:r>
        <w:rPr>
          <w:rFonts w:hint="eastAsia" w:ascii="宋体" w:hAnsi="宋体" w:eastAsia="宋体"/>
          <w:b w:val="0"/>
          <w:bCs w:val="0"/>
          <w:sz w:val="24"/>
        </w:rPr>
        <w:t>1</w:t>
      </w:r>
      <w:r>
        <w:rPr>
          <w:rFonts w:ascii="宋体" w:hAnsi="宋体" w:eastAsia="宋体"/>
          <w:b w:val="0"/>
          <w:bCs w:val="0"/>
          <w:sz w:val="24"/>
        </w:rPr>
        <w:t xml:space="preserve"> 学期</w:t>
      </w:r>
      <w:r>
        <w:rPr>
          <w:rFonts w:ascii="宋体" w:hAnsi="宋体" w:eastAsia="宋体"/>
          <w:sz w:val="24"/>
        </w:rPr>
        <w:t>选课期间，通过教务系统“公选课”界面选择对应课程。</w:t>
      </w:r>
    </w:p>
    <w:p w14:paraId="571884D7">
      <w:pPr>
        <w:spacing w:line="360" w:lineRule="auto"/>
        <w:ind w:firstLine="482" w:firstLineChars="200"/>
        <w:rPr>
          <w:rFonts w:hint="default" w:ascii="Times New Roman" w:hAnsi="Times New Roman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/>
          <w:b/>
          <w:bCs/>
          <w:sz w:val="24"/>
          <w:szCs w:val="24"/>
          <w:lang w:val="en-US" w:eastAsia="zh-CN"/>
        </w:rPr>
        <w:t>七、咨询方式</w:t>
      </w:r>
    </w:p>
    <w:p w14:paraId="5CE67874">
      <w:pPr>
        <w:spacing w:line="360" w:lineRule="auto"/>
        <w:ind w:firstLine="480" w:firstLineChars="200"/>
        <w:rPr>
          <w:rFonts w:ascii="Times New Roman" w:hAnsi="Times New Roman" w:eastAsia="宋体"/>
        </w:rPr>
      </w:pPr>
      <w:r>
        <w:rPr>
          <w:rFonts w:hint="eastAsia" w:ascii="宋体" w:hAnsi="宋体" w:eastAsia="宋体"/>
          <w:sz w:val="24"/>
          <w:lang w:val="en-US" w:eastAsia="zh-CN"/>
        </w:rPr>
        <w:t>会计学院</w:t>
      </w:r>
      <w:r>
        <w:rPr>
          <w:rFonts w:hint="eastAsia" w:ascii="Times New Roman" w:hAnsi="Times New Roman" w:eastAsia="宋体"/>
          <w:sz w:val="24"/>
          <w:szCs w:val="24"/>
        </w:rPr>
        <w:t>新财经学术思维与论文写作微专业</w:t>
      </w:r>
      <w:r>
        <w:rPr>
          <w:rFonts w:hint="eastAsia" w:ascii="宋体" w:hAnsi="宋体" w:eastAsia="宋体"/>
          <w:sz w:val="24"/>
        </w:rPr>
        <w:t>管理教师：</w:t>
      </w:r>
      <w:r>
        <w:rPr>
          <w:rFonts w:hint="eastAsia" w:ascii="宋体" w:hAnsi="宋体" w:eastAsia="宋体"/>
          <w:sz w:val="24"/>
          <w:lang w:val="en-US" w:eastAsia="zh-CN"/>
        </w:rPr>
        <w:t>王老师，电话：87081879，办公地点：诚正楼539</w:t>
      </w:r>
    </w:p>
    <w:p w14:paraId="57DEE9B3">
      <w:pPr>
        <w:spacing w:line="360" w:lineRule="auto"/>
        <w:ind w:firstLine="420" w:firstLineChars="200"/>
        <w:rPr>
          <w:rFonts w:ascii="Times New Roman" w:hAnsi="Times New Roman" w:eastAsia="宋体"/>
        </w:rPr>
      </w:pPr>
    </w:p>
    <w:p w14:paraId="4E57609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3439C6"/>
    <w:multiLevelType w:val="multilevel"/>
    <w:tmpl w:val="353439C6"/>
    <w:lvl w:ilvl="0" w:tentative="0">
      <w:start w:val="1"/>
      <w:numFmt w:val="decimal"/>
      <w:suff w:val="space"/>
      <w:lvlText w:val="%1."/>
      <w:lvlJc w:val="left"/>
      <w:pPr>
        <w:ind w:left="0" w:firstLine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66551C1"/>
    <w:multiLevelType w:val="multilevel"/>
    <w:tmpl w:val="466551C1"/>
    <w:lvl w:ilvl="0" w:tentative="0">
      <w:start w:val="1"/>
      <w:numFmt w:val="decimal"/>
      <w:suff w:val="space"/>
      <w:lvlText w:val="%1."/>
      <w:lvlJc w:val="left"/>
      <w:pPr>
        <w:ind w:left="0" w:firstLine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E89"/>
    <w:rsid w:val="00176608"/>
    <w:rsid w:val="001806AB"/>
    <w:rsid w:val="001B7A9E"/>
    <w:rsid w:val="002C189B"/>
    <w:rsid w:val="003044BA"/>
    <w:rsid w:val="0044204E"/>
    <w:rsid w:val="005B20D7"/>
    <w:rsid w:val="005C21DF"/>
    <w:rsid w:val="0063367F"/>
    <w:rsid w:val="006C642E"/>
    <w:rsid w:val="006F0D7F"/>
    <w:rsid w:val="00704966"/>
    <w:rsid w:val="00706A68"/>
    <w:rsid w:val="00720FC8"/>
    <w:rsid w:val="007E7C78"/>
    <w:rsid w:val="00943C55"/>
    <w:rsid w:val="0094765F"/>
    <w:rsid w:val="00A04C2F"/>
    <w:rsid w:val="00AC4A08"/>
    <w:rsid w:val="00AC68A8"/>
    <w:rsid w:val="00B968F7"/>
    <w:rsid w:val="00BE5184"/>
    <w:rsid w:val="00CC534F"/>
    <w:rsid w:val="00DD0E89"/>
    <w:rsid w:val="00E05E10"/>
    <w:rsid w:val="00F72200"/>
    <w:rsid w:val="3E4F4648"/>
    <w:rsid w:val="607824F4"/>
    <w:rsid w:val="6B324F97"/>
    <w:rsid w:val="6F4A6786"/>
    <w:rsid w:val="73E21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1254</Words>
  <Characters>1279</Characters>
  <Lines>11</Lines>
  <Paragraphs>3</Paragraphs>
  <TotalTime>4</TotalTime>
  <ScaleCrop>false</ScaleCrop>
  <LinksUpToDate>false</LinksUpToDate>
  <CharactersWithSpaces>1281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2025-07-16T02:08:00Z</dcterms:created>
  <dc:creator>win</dc:creator>
  <cp:lastModifiedBy>李天慧</cp:lastModifiedBy>
  <dcterms:modified xsi:type="dcterms:W3CDTF">2026-06-12T07:05:42Z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eyJoZGlkIjoiODViY2JkMjU3NGYzZTEwMzZmMGFkZWViYmNkYWU3NDIiLCJ1c2VySWQiOiIxNzUzMjg1NDA4In0=</vt:lpwstr>
  </property>
  <property fmtid="{D5CDD505-2E9C-101B-9397-08002B2CF9AE}" pid="3" name="KSOProductBuildVer">
    <vt:lpwstr>2052-12.1.0.25865</vt:lpwstr>
  </property>
  <property fmtid="{D5CDD505-2E9C-101B-9397-08002B2CF9AE}" pid="4" name="ICV">
    <vt:lpwstr>3D900DD5983C44068B9CC046542ACB99_13</vt:lpwstr>
  </property>
</Properties>
</file>