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8E" w:rsidRDefault="00C23B50">
      <w:pPr>
        <w:pStyle w:val="1"/>
        <w:widowControl/>
        <w:spacing w:line="360" w:lineRule="auto"/>
        <w:jc w:val="center"/>
        <w:outlineLvl w:val="0"/>
        <w:rPr>
          <w:rFonts w:ascii="黑体" w:eastAsia="黑体" w:hAnsi="黑体" w:cs="宋体"/>
          <w:sz w:val="32"/>
          <w:szCs w:val="32"/>
        </w:rPr>
      </w:pPr>
      <w:r>
        <w:rPr>
          <w:rFonts w:ascii="黑体" w:eastAsia="黑体" w:hAnsi="黑体" w:cs="宋体"/>
          <w:sz w:val="32"/>
          <w:szCs w:val="32"/>
        </w:rPr>
        <w:t>西南财经大学本科生公共外语课程免修实施办法</w:t>
      </w:r>
    </w:p>
    <w:p w:rsidR="007B3E8E" w:rsidRDefault="00C23B50">
      <w:pPr>
        <w:pStyle w:val="1"/>
        <w:widowControl/>
        <w:spacing w:line="360" w:lineRule="auto"/>
        <w:jc w:val="center"/>
        <w:outlineLvl w:val="0"/>
        <w:rPr>
          <w:rFonts w:ascii="宋体" w:eastAsia="宋体" w:hAnsi="宋体"/>
          <w:b/>
          <w:bCs/>
          <w:sz w:val="24"/>
          <w:szCs w:val="24"/>
        </w:rPr>
      </w:pPr>
      <w:r>
        <w:rPr>
          <w:rFonts w:ascii="宋体" w:eastAsia="宋体" w:hAnsi="宋体" w:cs="宋体"/>
          <w:b/>
          <w:bCs/>
          <w:sz w:val="24"/>
          <w:szCs w:val="24"/>
        </w:rPr>
        <w:t>（适用于2019级、2020级）</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kern w:val="0"/>
          <w:sz w:val="28"/>
          <w:szCs w:val="28"/>
        </w:rPr>
        <w:t>为推进我校本科生公共外语课程教学改革，全面提升公共外语教学质量，特制定西南财经大学本科生公共外语课程免修实施办法。</w:t>
      </w:r>
    </w:p>
    <w:p w:rsidR="007B3E8E" w:rsidRDefault="00C23B50">
      <w:pPr>
        <w:pStyle w:val="1"/>
        <w:widowControl/>
        <w:spacing w:line="460" w:lineRule="exact"/>
        <w:ind w:firstLineChars="200" w:firstLine="562"/>
        <w:jc w:val="center"/>
        <w:rPr>
          <w:rFonts w:ascii="仿宋" w:eastAsia="仿宋" w:hAnsi="仿宋" w:cs="仿宋"/>
          <w:b/>
          <w:bCs/>
          <w:kern w:val="0"/>
          <w:sz w:val="28"/>
          <w:szCs w:val="28"/>
        </w:rPr>
      </w:pPr>
      <w:r>
        <w:rPr>
          <w:rFonts w:ascii="仿宋" w:eastAsia="仿宋" w:hAnsi="仿宋" w:cs="仿宋"/>
          <w:b/>
          <w:bCs/>
          <w:kern w:val="0"/>
          <w:sz w:val="28"/>
          <w:szCs w:val="28"/>
        </w:rPr>
        <w:t>第一章  免修原则及范围</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第一条</w:t>
      </w:r>
      <w:r>
        <w:rPr>
          <w:rFonts w:ascii="仿宋" w:eastAsia="仿宋" w:hAnsi="仿宋" w:cs="仿宋"/>
          <w:kern w:val="0"/>
          <w:sz w:val="28"/>
          <w:szCs w:val="28"/>
        </w:rPr>
        <w:t xml:space="preserve"> 免修课程范围共包括3个课程模块：综合英语、英语专项技能课程、英语拓展课程。共计8学分。</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第二条</w:t>
      </w:r>
      <w:r>
        <w:rPr>
          <w:rFonts w:ascii="仿宋" w:eastAsia="仿宋" w:hAnsi="仿宋" w:cs="仿宋"/>
          <w:kern w:val="0"/>
          <w:sz w:val="28"/>
          <w:szCs w:val="28"/>
        </w:rPr>
        <w:t xml:space="preserve"> 符合免修申请范围专业仅限于2019级到2020级修读公共外语课程的全日制本科生。</w:t>
      </w:r>
    </w:p>
    <w:p w:rsidR="007B3E8E" w:rsidRDefault="00C23B50">
      <w:pPr>
        <w:pStyle w:val="1"/>
        <w:widowControl/>
        <w:spacing w:before="240" w:after="240" w:line="460" w:lineRule="exact"/>
        <w:ind w:firstLineChars="200" w:firstLine="562"/>
        <w:rPr>
          <w:rFonts w:ascii="仿宋" w:eastAsia="仿宋" w:hAnsi="仿宋" w:cs="仿宋"/>
          <w:kern w:val="0"/>
          <w:sz w:val="28"/>
          <w:szCs w:val="28"/>
        </w:rPr>
      </w:pPr>
      <w:r>
        <w:rPr>
          <w:rFonts w:ascii="仿宋" w:eastAsia="仿宋" w:hAnsi="仿宋" w:cs="仿宋"/>
          <w:b/>
          <w:kern w:val="0"/>
          <w:sz w:val="28"/>
          <w:szCs w:val="28"/>
        </w:rPr>
        <w:t>第三条</w:t>
      </w:r>
      <w:r>
        <w:rPr>
          <w:rFonts w:ascii="仿宋" w:eastAsia="仿宋" w:hAnsi="仿宋" w:cs="仿宋"/>
          <w:kern w:val="0"/>
          <w:sz w:val="28"/>
          <w:szCs w:val="28"/>
        </w:rPr>
        <w:t xml:space="preserve"> 学生仅限于申请未取得学分的公共外语课程，对于已取得学分的公共课程不能申请免修和成绩认定。</w:t>
      </w:r>
    </w:p>
    <w:p w:rsidR="007B3E8E" w:rsidRDefault="00C23B50">
      <w:pPr>
        <w:pStyle w:val="1"/>
        <w:widowControl/>
        <w:spacing w:before="240" w:after="240" w:line="460" w:lineRule="exact"/>
        <w:ind w:firstLineChars="200" w:firstLine="562"/>
        <w:rPr>
          <w:rFonts w:ascii="仿宋" w:eastAsia="仿宋" w:hAnsi="仿宋" w:cs="仿宋"/>
          <w:kern w:val="0"/>
          <w:sz w:val="28"/>
          <w:szCs w:val="28"/>
        </w:rPr>
      </w:pPr>
      <w:r>
        <w:rPr>
          <w:rFonts w:ascii="仿宋" w:eastAsia="仿宋" w:hAnsi="仿宋" w:cs="仿宋"/>
          <w:b/>
          <w:kern w:val="0"/>
          <w:sz w:val="28"/>
          <w:szCs w:val="28"/>
        </w:rPr>
        <w:t>第四条</w:t>
      </w:r>
      <w:r>
        <w:rPr>
          <w:rFonts w:ascii="仿宋" w:eastAsia="仿宋" w:hAnsi="仿宋" w:cs="仿宋"/>
          <w:kern w:val="0"/>
          <w:sz w:val="28"/>
          <w:szCs w:val="28"/>
        </w:rPr>
        <w:t xml:space="preserve"> 符合免修条件且已注册相关公共外语课程，如在该门课程考试中作弊，取消免修资格并按照学校规定处理。</w:t>
      </w:r>
    </w:p>
    <w:p w:rsidR="007B3E8E" w:rsidRDefault="00C23B50">
      <w:pPr>
        <w:pStyle w:val="1"/>
        <w:widowControl/>
        <w:spacing w:line="460" w:lineRule="exact"/>
        <w:ind w:firstLineChars="900" w:firstLine="2530"/>
        <w:rPr>
          <w:rFonts w:ascii="仿宋" w:eastAsia="仿宋" w:hAnsi="仿宋" w:cs="仿宋"/>
          <w:b/>
          <w:bCs/>
          <w:kern w:val="0"/>
          <w:sz w:val="28"/>
          <w:szCs w:val="28"/>
        </w:rPr>
      </w:pPr>
      <w:r>
        <w:rPr>
          <w:rFonts w:ascii="仿宋" w:eastAsia="仿宋" w:hAnsi="仿宋" w:cs="仿宋"/>
          <w:b/>
          <w:bCs/>
          <w:kern w:val="0"/>
          <w:sz w:val="28"/>
          <w:szCs w:val="28"/>
        </w:rPr>
        <w:t>第二章  免修条件及方式</w:t>
      </w:r>
    </w:p>
    <w:p w:rsidR="007B3E8E" w:rsidRDefault="00C23B50">
      <w:pPr>
        <w:pStyle w:val="1"/>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第五条  免修条件</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申请免修者需满足以下条件之一：</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1.全国大学英语四级604分及以上或六级568分及以上；</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2.雅思成绩6.5分及以上；</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3.托福（IBT）成绩84分及以上；</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4.GRE考试成绩225分及以上；</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5.GMAT成绩520分及以上；</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6.国际人才英语考试通过中级及以上。</w:t>
      </w:r>
    </w:p>
    <w:p w:rsidR="007B3E8E" w:rsidRDefault="00C23B50">
      <w:pPr>
        <w:pStyle w:val="1"/>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lastRenderedPageBreak/>
        <w:t>第六条  免修方式</w:t>
      </w:r>
    </w:p>
    <w:p w:rsidR="007B3E8E" w:rsidRDefault="00C23B50">
      <w:pPr>
        <w:pStyle w:val="1"/>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1.拟免修课程已注册</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拟申请免修的课程，如已注册，仍需继续参加该门课程的教学及考试，该门课程最终成绩按照免修折算成绩或学习总评成绩中的最高成绩予以记载。</w:t>
      </w:r>
    </w:p>
    <w:p w:rsidR="007B3E8E" w:rsidRDefault="00C23B50">
      <w:pPr>
        <w:pStyle w:val="1"/>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2.拟免修课程未注册</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对于未注册但符合免修申请条件的同学，允许学生自由选择是否继续学习。具体选择方式如下：</w:t>
      </w:r>
    </w:p>
    <w:p w:rsidR="007B3E8E" w:rsidRDefault="00C23B50">
      <w:pPr>
        <w:pStyle w:val="1"/>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（1）免修免考</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kern w:val="0"/>
          <w:sz w:val="28"/>
          <w:szCs w:val="28"/>
        </w:rPr>
        <w:t>符合免修申请条件者，在下学期课程注册时，不需注册拟免修的公共外语相关课程，其申请免修的课程成绩按照折算成绩记载。</w:t>
      </w:r>
    </w:p>
    <w:p w:rsidR="007B3E8E" w:rsidRDefault="00C23B50">
      <w:pPr>
        <w:pStyle w:val="1"/>
        <w:widowControl/>
        <w:spacing w:before="240" w:after="240" w:line="460" w:lineRule="exact"/>
        <w:ind w:firstLineChars="200" w:firstLine="562"/>
        <w:rPr>
          <w:rFonts w:ascii="仿宋" w:eastAsia="仿宋" w:hAnsi="仿宋" w:cs="仿宋"/>
          <w:b/>
          <w:kern w:val="0"/>
          <w:sz w:val="28"/>
          <w:szCs w:val="28"/>
        </w:rPr>
      </w:pPr>
      <w:r>
        <w:rPr>
          <w:rFonts w:ascii="仿宋" w:eastAsia="仿宋" w:hAnsi="仿宋" w:cs="仿宋"/>
          <w:b/>
          <w:kern w:val="0"/>
          <w:sz w:val="28"/>
          <w:szCs w:val="28"/>
        </w:rPr>
        <w:t>（2）继续修读并参加考试</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kern w:val="0"/>
          <w:sz w:val="28"/>
          <w:szCs w:val="28"/>
        </w:rPr>
        <w:t>符合免修免考条件者可以选择注册公共外语课程并参加学习和考试，其成绩与已注册相关公共外语课程成绩记载方式相同。对于选择继续修读公共外语课程并参加考试者，如未按照学校规定要求参加课程学习并参加考试，取消其免修资格并按照学校规定处理。</w:t>
      </w:r>
    </w:p>
    <w:p w:rsidR="007B3E8E" w:rsidRDefault="00C23B50">
      <w:pPr>
        <w:pStyle w:val="1"/>
        <w:widowControl/>
        <w:spacing w:before="240" w:after="240" w:line="460" w:lineRule="exact"/>
        <w:jc w:val="center"/>
        <w:rPr>
          <w:rFonts w:ascii="仿宋" w:eastAsia="仿宋" w:hAnsi="仿宋" w:cs="仿宋"/>
          <w:b/>
          <w:kern w:val="0"/>
          <w:sz w:val="28"/>
          <w:szCs w:val="28"/>
        </w:rPr>
      </w:pPr>
      <w:r>
        <w:rPr>
          <w:rFonts w:ascii="仿宋" w:eastAsia="仿宋" w:hAnsi="仿宋" w:cs="仿宋"/>
          <w:b/>
          <w:kern w:val="0"/>
          <w:sz w:val="28"/>
          <w:szCs w:val="28"/>
        </w:rPr>
        <w:t>第三章  申请及认定程序</w:t>
      </w:r>
    </w:p>
    <w:p w:rsidR="007B3E8E" w:rsidRDefault="00C23B50">
      <w:pPr>
        <w:pStyle w:val="1"/>
        <w:widowControl/>
        <w:spacing w:line="460" w:lineRule="exact"/>
        <w:ind w:firstLineChars="200" w:firstLine="562"/>
        <w:rPr>
          <w:rFonts w:ascii="仿宋" w:eastAsia="仿宋" w:hAnsi="仿宋" w:cs="仿宋"/>
          <w:b/>
          <w:bCs/>
          <w:kern w:val="0"/>
          <w:sz w:val="28"/>
          <w:szCs w:val="28"/>
        </w:rPr>
      </w:pPr>
      <w:r>
        <w:rPr>
          <w:rFonts w:ascii="仿宋" w:eastAsia="仿宋" w:hAnsi="仿宋" w:cs="仿宋"/>
          <w:b/>
          <w:bCs/>
          <w:kern w:val="0"/>
          <w:sz w:val="28"/>
          <w:szCs w:val="28"/>
        </w:rPr>
        <w:t>第七条  申请程序</w:t>
      </w:r>
    </w:p>
    <w:p w:rsidR="007B3E8E" w:rsidRDefault="00C23B50">
      <w:pPr>
        <w:pStyle w:val="1"/>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1.申请时间。公共外语课程学分认定申请和审核将在</w:t>
      </w:r>
      <w:r>
        <w:rPr>
          <w:rFonts w:ascii="仿宋" w:eastAsia="仿宋" w:hAnsi="仿宋" w:cs="仿宋"/>
          <w:b/>
          <w:kern w:val="0"/>
          <w:sz w:val="28"/>
          <w:szCs w:val="28"/>
        </w:rPr>
        <w:t>每学期期中前</w:t>
      </w:r>
      <w:r>
        <w:rPr>
          <w:rFonts w:ascii="仿宋" w:eastAsia="仿宋" w:hAnsi="仿宋" w:cs="仿宋"/>
          <w:kern w:val="0"/>
          <w:sz w:val="28"/>
          <w:szCs w:val="28"/>
        </w:rPr>
        <w:t>进行，具体时间以教务处网站通知时间为准。</w:t>
      </w:r>
    </w:p>
    <w:p w:rsidR="007B3E8E" w:rsidRDefault="00C23B50">
      <w:pPr>
        <w:pStyle w:val="1"/>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2.申请流程。自2018级本科生起，学生在系统开放时间内需登录校园微服务门户“SWUFE移动校园”，自行提出申请并提交相关证明材料。</w:t>
      </w:r>
    </w:p>
    <w:p w:rsidR="007B3E8E" w:rsidRDefault="00C23B50">
      <w:pPr>
        <w:pStyle w:val="1"/>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lastRenderedPageBreak/>
        <w:t>3.成绩记载。全国大学生英语四、六级考试成绩在每学期成绩公布后，由学校在教务系统导入。其他类型考试成绩，学生需在登入“SWUFE移动校园”后自行登入。</w:t>
      </w:r>
    </w:p>
    <w:p w:rsidR="007B3E8E" w:rsidRDefault="00C23B50">
      <w:pPr>
        <w:pStyle w:val="1"/>
        <w:widowControl/>
        <w:spacing w:line="460" w:lineRule="exact"/>
        <w:ind w:firstLineChars="200" w:firstLine="562"/>
        <w:rPr>
          <w:rFonts w:ascii="仿宋" w:eastAsia="仿宋" w:hAnsi="仿宋" w:cs="仿宋"/>
          <w:kern w:val="0"/>
          <w:sz w:val="28"/>
          <w:szCs w:val="28"/>
        </w:rPr>
      </w:pPr>
      <w:r>
        <w:rPr>
          <w:rFonts w:ascii="仿宋" w:eastAsia="仿宋" w:hAnsi="仿宋" w:cs="仿宋"/>
          <w:b/>
          <w:bCs/>
          <w:kern w:val="0"/>
          <w:sz w:val="28"/>
          <w:szCs w:val="28"/>
        </w:rPr>
        <w:t>第八条  审核与认定</w:t>
      </w:r>
    </w:p>
    <w:p w:rsidR="007B3E8E" w:rsidRDefault="00C23B50">
      <w:pPr>
        <w:pStyle w:val="1"/>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1.审核。申请时间截止后，由学生所在学院统一审核。</w:t>
      </w:r>
    </w:p>
    <w:p w:rsidR="007B3E8E" w:rsidRDefault="00C23B50">
      <w:pPr>
        <w:pStyle w:val="1"/>
        <w:widowControl/>
        <w:spacing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2.认定。学院审核通过后，由教务处进行认定，认定结果将在教务处网站予以公示。</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 xml:space="preserve"> 第九条</w:t>
      </w:r>
      <w:r>
        <w:rPr>
          <w:rFonts w:ascii="仿宋" w:eastAsia="仿宋" w:hAnsi="仿宋" w:cs="仿宋"/>
          <w:kern w:val="0"/>
          <w:sz w:val="28"/>
          <w:szCs w:val="28"/>
        </w:rPr>
        <w:t xml:space="preserve">  </w:t>
      </w:r>
      <w:r>
        <w:rPr>
          <w:rFonts w:ascii="仿宋" w:eastAsia="仿宋" w:hAnsi="仿宋" w:cs="仿宋"/>
          <w:b/>
          <w:bCs/>
          <w:kern w:val="0"/>
          <w:sz w:val="28"/>
          <w:szCs w:val="28"/>
        </w:rPr>
        <w:t>成绩换（折）算标准</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kern w:val="0"/>
          <w:sz w:val="28"/>
          <w:szCs w:val="28"/>
        </w:rPr>
        <w:t xml:space="preserve"> 换算公式：成绩=（原始成绩/相应考试类型总分）*折算系数*100%（四舍五入）。折算后成绩超过100分，按100分登入。具体各类型考试分数对应的换算成绩见附表2。</w:t>
      </w:r>
    </w:p>
    <w:p w:rsidR="007B3E8E" w:rsidRDefault="00C23B50">
      <w:pPr>
        <w:pStyle w:val="1"/>
        <w:widowControl/>
        <w:spacing w:before="240" w:after="240" w:line="460" w:lineRule="exact"/>
        <w:ind w:firstLineChars="150" w:firstLine="422"/>
        <w:rPr>
          <w:rFonts w:ascii="仿宋" w:eastAsia="仿宋" w:hAnsi="仿宋" w:cs="仿宋"/>
          <w:b/>
          <w:kern w:val="0"/>
          <w:sz w:val="28"/>
          <w:szCs w:val="28"/>
        </w:rPr>
      </w:pPr>
      <w:r>
        <w:rPr>
          <w:rFonts w:ascii="仿宋" w:eastAsia="仿宋" w:hAnsi="仿宋" w:cs="仿宋"/>
          <w:b/>
          <w:kern w:val="0"/>
          <w:sz w:val="28"/>
          <w:szCs w:val="28"/>
        </w:rPr>
        <w:t xml:space="preserve"> 第十条  成绩记载 </w:t>
      </w:r>
    </w:p>
    <w:p w:rsidR="007B3E8E" w:rsidRDefault="00C23B50">
      <w:pPr>
        <w:pStyle w:val="1"/>
        <w:widowControl/>
        <w:spacing w:before="240" w:after="240" w:line="460" w:lineRule="exact"/>
        <w:ind w:firstLineChars="200" w:firstLine="560"/>
        <w:rPr>
          <w:rFonts w:ascii="仿宋" w:eastAsia="仿宋" w:hAnsi="仿宋" w:cs="仿宋"/>
          <w:kern w:val="0"/>
          <w:sz w:val="28"/>
          <w:szCs w:val="28"/>
        </w:rPr>
      </w:pPr>
      <w:r>
        <w:rPr>
          <w:rFonts w:ascii="仿宋" w:eastAsia="仿宋" w:hAnsi="仿宋" w:cs="仿宋"/>
          <w:kern w:val="0"/>
          <w:sz w:val="28"/>
          <w:szCs w:val="28"/>
        </w:rPr>
        <w:t>申请免修当前正在修读的课程，其成绩在该学期记载。申请免修尚未注册的课程，其成绩在申请提交通过后的下学期记载。</w:t>
      </w:r>
    </w:p>
    <w:p w:rsidR="007B3E8E" w:rsidRDefault="00C23B50">
      <w:pPr>
        <w:pStyle w:val="1"/>
        <w:widowControl/>
        <w:spacing w:before="240" w:after="240" w:line="460" w:lineRule="exact"/>
        <w:ind w:firstLineChars="200" w:firstLine="562"/>
        <w:rPr>
          <w:rFonts w:ascii="仿宋" w:eastAsia="仿宋" w:hAnsi="仿宋" w:cs="仿宋"/>
          <w:kern w:val="0"/>
          <w:sz w:val="28"/>
          <w:szCs w:val="28"/>
        </w:rPr>
      </w:pPr>
      <w:r>
        <w:rPr>
          <w:rFonts w:ascii="仿宋" w:eastAsia="仿宋" w:hAnsi="仿宋" w:cs="仿宋"/>
          <w:b/>
          <w:kern w:val="0"/>
          <w:sz w:val="28"/>
          <w:szCs w:val="28"/>
        </w:rPr>
        <w:t>第十一条</w:t>
      </w:r>
      <w:r>
        <w:rPr>
          <w:rFonts w:ascii="仿宋" w:eastAsia="仿宋" w:hAnsi="仿宋" w:cs="仿宋"/>
          <w:kern w:val="0"/>
          <w:sz w:val="28"/>
          <w:szCs w:val="28"/>
        </w:rPr>
        <w:t xml:space="preserve"> 一次考试成绩只能用于一次免修申请，不得重复申请。</w:t>
      </w:r>
    </w:p>
    <w:p w:rsidR="007B3E8E" w:rsidRDefault="00C23B50">
      <w:pPr>
        <w:pStyle w:val="1"/>
        <w:widowControl/>
        <w:spacing w:before="240" w:after="240" w:line="460" w:lineRule="exact"/>
        <w:ind w:firstLineChars="200" w:firstLine="562"/>
        <w:rPr>
          <w:rFonts w:ascii="仿宋" w:eastAsia="仿宋" w:hAnsi="仿宋" w:cs="仿宋"/>
          <w:kern w:val="0"/>
          <w:sz w:val="28"/>
          <w:szCs w:val="28"/>
        </w:rPr>
      </w:pPr>
      <w:r>
        <w:rPr>
          <w:rFonts w:ascii="仿宋" w:eastAsia="仿宋" w:hAnsi="仿宋" w:cs="仿宋"/>
          <w:b/>
          <w:kern w:val="0"/>
          <w:sz w:val="28"/>
          <w:szCs w:val="28"/>
        </w:rPr>
        <w:t>第十二条</w:t>
      </w:r>
      <w:r>
        <w:rPr>
          <w:rFonts w:ascii="仿宋" w:eastAsia="仿宋" w:hAnsi="仿宋" w:cs="仿宋"/>
          <w:kern w:val="0"/>
          <w:sz w:val="28"/>
          <w:szCs w:val="28"/>
        </w:rPr>
        <w:t xml:space="preserve">  同一申请期内，学生可用本办法规定的不同类型考试成绩，申请多门课程免修。</w:t>
      </w:r>
    </w:p>
    <w:p w:rsidR="007B3E8E" w:rsidRDefault="00C23B50">
      <w:pPr>
        <w:pStyle w:val="1"/>
        <w:widowControl/>
        <w:spacing w:before="240" w:after="240" w:line="460" w:lineRule="exact"/>
        <w:ind w:firstLineChars="200" w:firstLine="562"/>
        <w:rPr>
          <w:rFonts w:ascii="仿宋" w:eastAsia="仿宋" w:hAnsi="仿宋" w:cs="仿宋"/>
          <w:kern w:val="0"/>
          <w:sz w:val="28"/>
          <w:szCs w:val="28"/>
        </w:rPr>
      </w:pPr>
      <w:r>
        <w:rPr>
          <w:rFonts w:ascii="仿宋" w:eastAsia="仿宋" w:hAnsi="仿宋" w:cs="仿宋"/>
          <w:b/>
          <w:kern w:val="0"/>
          <w:sz w:val="28"/>
          <w:szCs w:val="28"/>
        </w:rPr>
        <w:t>第十三条</w:t>
      </w:r>
      <w:r>
        <w:rPr>
          <w:rFonts w:ascii="仿宋" w:eastAsia="仿宋" w:hAnsi="仿宋" w:cs="仿宋"/>
          <w:kern w:val="0"/>
          <w:sz w:val="28"/>
          <w:szCs w:val="28"/>
        </w:rPr>
        <w:t xml:space="preserve"> 免修申请经学校认定后，不得更改。</w:t>
      </w:r>
    </w:p>
    <w:p w:rsidR="007B3E8E" w:rsidRDefault="00C23B50">
      <w:pPr>
        <w:pStyle w:val="1"/>
        <w:widowControl/>
        <w:spacing w:before="240" w:after="240" w:line="460" w:lineRule="exact"/>
        <w:jc w:val="center"/>
        <w:rPr>
          <w:rFonts w:ascii="仿宋" w:eastAsia="仿宋" w:hAnsi="仿宋" w:cs="仿宋"/>
          <w:b/>
          <w:bCs/>
          <w:kern w:val="0"/>
          <w:sz w:val="28"/>
          <w:szCs w:val="28"/>
        </w:rPr>
      </w:pPr>
      <w:r>
        <w:rPr>
          <w:rFonts w:ascii="仿宋" w:eastAsia="仿宋" w:hAnsi="仿宋" w:cs="仿宋"/>
          <w:b/>
          <w:bCs/>
          <w:kern w:val="0"/>
          <w:sz w:val="28"/>
          <w:szCs w:val="28"/>
        </w:rPr>
        <w:t>第四章  附则</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第十四条</w:t>
      </w:r>
      <w:r>
        <w:rPr>
          <w:rFonts w:ascii="仿宋" w:eastAsia="仿宋" w:hAnsi="仿宋" w:cs="仿宋"/>
          <w:kern w:val="0"/>
          <w:sz w:val="28"/>
          <w:szCs w:val="28"/>
        </w:rPr>
        <w:t xml:space="preserve">  本办法由教务处、外国语学院负责解释。</w:t>
      </w:r>
    </w:p>
    <w:p w:rsidR="007B3E8E" w:rsidRDefault="00C23B50">
      <w:pPr>
        <w:pStyle w:val="1"/>
        <w:widowControl/>
        <w:spacing w:before="240" w:after="240" w:line="460" w:lineRule="exact"/>
        <w:ind w:firstLine="480"/>
        <w:rPr>
          <w:rFonts w:ascii="仿宋" w:eastAsia="仿宋" w:hAnsi="仿宋" w:cs="仿宋"/>
          <w:kern w:val="0"/>
          <w:sz w:val="28"/>
          <w:szCs w:val="28"/>
        </w:rPr>
      </w:pPr>
      <w:r>
        <w:rPr>
          <w:rFonts w:ascii="仿宋" w:eastAsia="仿宋" w:hAnsi="仿宋" w:cs="仿宋"/>
          <w:b/>
          <w:kern w:val="0"/>
          <w:sz w:val="28"/>
          <w:szCs w:val="28"/>
        </w:rPr>
        <w:t>第十五条</w:t>
      </w:r>
      <w:r>
        <w:rPr>
          <w:rFonts w:ascii="仿宋" w:eastAsia="仿宋" w:hAnsi="仿宋" w:cs="仿宋"/>
          <w:kern w:val="0"/>
          <w:sz w:val="28"/>
          <w:szCs w:val="28"/>
        </w:rPr>
        <w:t xml:space="preserve">  本办法自201</w:t>
      </w:r>
      <w:r>
        <w:rPr>
          <w:rFonts w:ascii="仿宋" w:hAnsi="仿宋" w:cs="仿宋"/>
          <w:kern w:val="0"/>
          <w:sz w:val="28"/>
          <w:szCs w:val="28"/>
        </w:rPr>
        <w:t>9</w:t>
      </w:r>
      <w:r>
        <w:rPr>
          <w:rFonts w:ascii="仿宋" w:eastAsia="仿宋" w:hAnsi="仿宋" w:cs="仿宋"/>
          <w:kern w:val="0"/>
          <w:sz w:val="28"/>
          <w:szCs w:val="28"/>
        </w:rPr>
        <w:t>级本科生起正式执行。</w:t>
      </w:r>
    </w:p>
    <w:p w:rsidR="007B3E8E" w:rsidRDefault="00C23B50">
      <w:pPr>
        <w:pStyle w:val="1"/>
        <w:widowControl/>
        <w:spacing w:before="240" w:after="240" w:line="460" w:lineRule="exact"/>
        <w:ind w:firstLine="480"/>
        <w:rPr>
          <w:rFonts w:ascii="仿宋" w:eastAsia="仿宋" w:hAnsi="仿宋" w:cs="仿宋"/>
          <w:b/>
          <w:bCs/>
          <w:kern w:val="0"/>
          <w:sz w:val="28"/>
          <w:szCs w:val="28"/>
        </w:rPr>
      </w:pPr>
      <w:r>
        <w:rPr>
          <w:rFonts w:ascii="仿宋" w:eastAsia="仿宋" w:hAnsi="仿宋" w:cs="仿宋"/>
          <w:kern w:val="0"/>
          <w:sz w:val="28"/>
          <w:szCs w:val="28"/>
        </w:rPr>
        <w:t xml:space="preserve">                    </w:t>
      </w:r>
      <w:r>
        <w:rPr>
          <w:rFonts w:ascii="仿宋" w:eastAsia="仿宋" w:hAnsi="仿宋" w:cs="仿宋"/>
          <w:b/>
          <w:bCs/>
          <w:kern w:val="0"/>
          <w:sz w:val="28"/>
          <w:szCs w:val="28"/>
        </w:rPr>
        <w:t xml:space="preserve"> </w:t>
      </w:r>
      <w:r w:rsidR="003B0A82">
        <w:rPr>
          <w:rFonts w:ascii="仿宋" w:eastAsia="仿宋" w:hAnsi="仿宋" w:cs="仿宋" w:hint="eastAsia"/>
          <w:b/>
          <w:bCs/>
          <w:kern w:val="0"/>
          <w:sz w:val="28"/>
          <w:szCs w:val="28"/>
        </w:rPr>
        <w:t xml:space="preserve"> </w:t>
      </w:r>
      <w:r w:rsidR="003B0A82">
        <w:rPr>
          <w:rFonts w:ascii="仿宋" w:eastAsia="仿宋" w:hAnsi="仿宋" w:cs="仿宋"/>
          <w:b/>
          <w:bCs/>
          <w:kern w:val="0"/>
          <w:sz w:val="28"/>
          <w:szCs w:val="28"/>
        </w:rPr>
        <w:t xml:space="preserve">        </w:t>
      </w:r>
      <w:r>
        <w:rPr>
          <w:rFonts w:ascii="仿宋" w:eastAsia="仿宋" w:hAnsi="仿宋" w:cs="仿宋"/>
          <w:b/>
          <w:bCs/>
          <w:kern w:val="0"/>
          <w:sz w:val="28"/>
          <w:szCs w:val="28"/>
        </w:rPr>
        <w:t>教务处   外国语学院</w:t>
      </w:r>
    </w:p>
    <w:p w:rsidR="007B3E8E" w:rsidRDefault="00C23B50">
      <w:pPr>
        <w:pStyle w:val="1"/>
        <w:widowControl/>
        <w:spacing w:before="240" w:after="240" w:line="460" w:lineRule="exact"/>
        <w:ind w:firstLine="480"/>
        <w:rPr>
          <w:rFonts w:ascii="仿宋" w:eastAsia="仿宋" w:hAnsi="仿宋" w:cs="仿宋"/>
          <w:kern w:val="0"/>
          <w:sz w:val="28"/>
          <w:szCs w:val="28"/>
        </w:rPr>
        <w:sectPr w:rsidR="007B3E8E">
          <w:pgSz w:w="11906" w:h="16838"/>
          <w:pgMar w:top="1440" w:right="1800" w:bottom="1440" w:left="1800" w:header="0" w:footer="0" w:gutter="0"/>
          <w:cols w:space="720"/>
          <w:formProt w:val="0"/>
          <w:docGrid w:type="lines" w:linePitch="312" w:charSpace="140902"/>
        </w:sectPr>
      </w:pPr>
      <w:r>
        <w:rPr>
          <w:rFonts w:ascii="仿宋" w:eastAsia="仿宋" w:hAnsi="仿宋" w:cs="仿宋"/>
          <w:b/>
          <w:bCs/>
          <w:kern w:val="0"/>
          <w:sz w:val="28"/>
          <w:szCs w:val="28"/>
        </w:rPr>
        <w:t xml:space="preserve">                                202</w:t>
      </w:r>
      <w:r w:rsidR="003B0A82">
        <w:rPr>
          <w:rFonts w:ascii="仿宋" w:eastAsia="仿宋" w:hAnsi="仿宋" w:cs="仿宋" w:hint="eastAsia"/>
          <w:b/>
          <w:bCs/>
          <w:kern w:val="0"/>
          <w:sz w:val="28"/>
          <w:szCs w:val="28"/>
        </w:rPr>
        <w:t>3</w:t>
      </w:r>
      <w:r>
        <w:rPr>
          <w:rFonts w:ascii="仿宋" w:eastAsia="仿宋" w:hAnsi="仿宋" w:cs="仿宋"/>
          <w:b/>
          <w:bCs/>
          <w:kern w:val="0"/>
          <w:sz w:val="28"/>
          <w:szCs w:val="28"/>
        </w:rPr>
        <w:t>年</w:t>
      </w:r>
      <w:r w:rsidR="003B0A82">
        <w:rPr>
          <w:rFonts w:ascii="仿宋" w:eastAsia="仿宋" w:hAnsi="仿宋" w:cs="仿宋" w:hint="eastAsia"/>
          <w:b/>
          <w:bCs/>
          <w:kern w:val="0"/>
          <w:sz w:val="28"/>
          <w:szCs w:val="28"/>
        </w:rPr>
        <w:t>3</w:t>
      </w:r>
      <w:r>
        <w:rPr>
          <w:rFonts w:ascii="仿宋" w:eastAsia="仿宋" w:hAnsi="仿宋" w:cs="仿宋"/>
          <w:b/>
          <w:bCs/>
          <w:kern w:val="0"/>
          <w:sz w:val="28"/>
          <w:szCs w:val="28"/>
        </w:rPr>
        <w:t>月</w:t>
      </w:r>
      <w:r w:rsidR="003B0A82">
        <w:rPr>
          <w:rFonts w:ascii="仿宋" w:eastAsia="仿宋" w:hAnsi="仿宋" w:cs="仿宋" w:hint="eastAsia"/>
          <w:b/>
          <w:bCs/>
          <w:kern w:val="0"/>
          <w:sz w:val="28"/>
          <w:szCs w:val="28"/>
        </w:rPr>
        <w:t>2</w:t>
      </w:r>
      <w:r w:rsidR="00B736F2">
        <w:rPr>
          <w:rFonts w:ascii="仿宋" w:eastAsia="仿宋" w:hAnsi="仿宋" w:cs="仿宋"/>
          <w:b/>
          <w:bCs/>
          <w:kern w:val="0"/>
          <w:sz w:val="28"/>
          <w:szCs w:val="28"/>
        </w:rPr>
        <w:t>1</w:t>
      </w:r>
      <w:bookmarkStart w:id="0" w:name="_GoBack"/>
      <w:bookmarkEnd w:id="0"/>
      <w:r>
        <w:rPr>
          <w:rFonts w:ascii="仿宋" w:eastAsia="仿宋" w:hAnsi="仿宋" w:cs="仿宋"/>
          <w:b/>
          <w:bCs/>
          <w:kern w:val="0"/>
          <w:sz w:val="28"/>
          <w:szCs w:val="28"/>
        </w:rPr>
        <w:t>日</w:t>
      </w:r>
      <w:r>
        <w:rPr>
          <w:rFonts w:ascii="仿宋" w:eastAsia="仿宋" w:hAnsi="仿宋" w:cs="仿宋"/>
          <w:b/>
          <w:bCs/>
          <w:color w:val="FF0000"/>
          <w:kern w:val="0"/>
          <w:sz w:val="28"/>
          <w:szCs w:val="28"/>
        </w:rPr>
        <w:t xml:space="preserve">   </w:t>
      </w:r>
      <w:r>
        <w:rPr>
          <w:rFonts w:ascii="仿宋" w:eastAsia="仿宋" w:hAnsi="仿宋" w:cs="仿宋"/>
          <w:color w:val="FF0000"/>
          <w:kern w:val="0"/>
          <w:sz w:val="28"/>
          <w:szCs w:val="28"/>
        </w:rPr>
        <w:t xml:space="preserve">  </w:t>
      </w:r>
      <w:r>
        <w:rPr>
          <w:rFonts w:ascii="仿宋" w:eastAsia="仿宋" w:hAnsi="仿宋" w:cs="仿宋"/>
          <w:kern w:val="0"/>
          <w:sz w:val="28"/>
          <w:szCs w:val="28"/>
        </w:rPr>
        <w:t xml:space="preserve">       </w:t>
      </w:r>
    </w:p>
    <w:p w:rsidR="007B3E8E" w:rsidRDefault="00C23B50">
      <w:pPr>
        <w:pStyle w:val="1"/>
        <w:widowControl/>
        <w:spacing w:before="240" w:after="240" w:line="360" w:lineRule="auto"/>
        <w:rPr>
          <w:rFonts w:ascii="仿宋" w:eastAsia="仿宋" w:hAnsi="仿宋" w:cs="仿宋"/>
          <w:bCs/>
        </w:rPr>
      </w:pPr>
      <w:r>
        <w:rPr>
          <w:rFonts w:ascii="仿宋" w:eastAsia="仿宋" w:hAnsi="仿宋" w:cs="仿宋"/>
          <w:bCs/>
        </w:rPr>
        <w:lastRenderedPageBreak/>
        <w:t>附表1</w:t>
      </w:r>
    </w:p>
    <w:p w:rsidR="007B3E8E" w:rsidRDefault="00C23B50">
      <w:pPr>
        <w:pStyle w:val="1"/>
        <w:widowControl/>
        <w:spacing w:before="240" w:after="240" w:line="360" w:lineRule="auto"/>
        <w:ind w:firstLine="480"/>
        <w:jc w:val="center"/>
        <w:rPr>
          <w:rFonts w:ascii="Times New Roman" w:eastAsia="黑体" w:hAnsi="Times New Roman" w:cs="Times New Roman"/>
          <w:b/>
          <w:sz w:val="24"/>
          <w:szCs w:val="24"/>
        </w:rPr>
      </w:pPr>
      <w:r>
        <w:rPr>
          <w:rFonts w:ascii="Times New Roman" w:eastAsia="黑体" w:hAnsi="Times New Roman" w:cs="Times New Roman"/>
          <w:b/>
          <w:sz w:val="30"/>
          <w:szCs w:val="30"/>
        </w:rPr>
        <w:t>2019</w:t>
      </w:r>
      <w:r>
        <w:rPr>
          <w:rFonts w:ascii="Times New Roman" w:eastAsia="黑体" w:hAnsi="Times New Roman" w:cs="Times New Roman"/>
          <w:b/>
          <w:sz w:val="30"/>
          <w:szCs w:val="30"/>
        </w:rPr>
        <w:t>级公共外语课程设置表</w:t>
      </w:r>
    </w:p>
    <w:tbl>
      <w:tblPr>
        <w:tblW w:w="10022" w:type="dxa"/>
        <w:tblInd w:w="-585" w:type="dxa"/>
        <w:tblLayout w:type="fixed"/>
        <w:tblLook w:val="04A0" w:firstRow="1" w:lastRow="0" w:firstColumn="1" w:lastColumn="0" w:noHBand="0" w:noVBand="1"/>
      </w:tblPr>
      <w:tblGrid>
        <w:gridCol w:w="888"/>
        <w:gridCol w:w="1137"/>
        <w:gridCol w:w="828"/>
        <w:gridCol w:w="707"/>
        <w:gridCol w:w="851"/>
        <w:gridCol w:w="794"/>
        <w:gridCol w:w="1416"/>
        <w:gridCol w:w="3401"/>
      </w:tblGrid>
      <w:tr w:rsidR="007B3E8E">
        <w:trPr>
          <w:trHeight w:val="454"/>
        </w:trPr>
        <w:tc>
          <w:tcPr>
            <w:tcW w:w="88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课程</w:t>
            </w:r>
          </w:p>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模块</w:t>
            </w: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课程代码</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课程</w:t>
            </w:r>
          </w:p>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名称</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学分</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周学时</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开课</w:t>
            </w:r>
          </w:p>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开课学院</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b/>
                <w:bCs/>
                <w:kern w:val="0"/>
                <w:sz w:val="18"/>
                <w:szCs w:val="18"/>
              </w:rPr>
            </w:pPr>
            <w:r>
              <w:rPr>
                <w:rFonts w:ascii="Times New Roman" w:hAnsi="Times New Roman" w:cs="Times New Roman"/>
                <w:b/>
                <w:bCs/>
                <w:kern w:val="0"/>
                <w:sz w:val="18"/>
                <w:szCs w:val="18"/>
              </w:rPr>
              <w:t>备注</w:t>
            </w:r>
          </w:p>
        </w:tc>
      </w:tr>
      <w:tr w:rsidR="007B3E8E">
        <w:trPr>
          <w:trHeight w:val="454"/>
        </w:trPr>
        <w:tc>
          <w:tcPr>
            <w:tcW w:w="88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综合英语</w:t>
            </w:r>
          </w:p>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（必选一）</w:t>
            </w: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ENG101</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综合英语</w:t>
            </w:r>
            <w:r>
              <w:rPr>
                <w:rFonts w:ascii="宋体" w:hAnsi="宋体" w:cs="宋体"/>
                <w:kern w:val="0"/>
                <w:sz w:val="18"/>
                <w:szCs w:val="18"/>
              </w:rPr>
              <w:t>Ⅰ</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第一学期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仅限部分招生计划类别录取的学生以及高考英语成绩</w:t>
            </w:r>
            <w:r>
              <w:rPr>
                <w:rFonts w:ascii="Times New Roman" w:hAnsi="Times New Roman" w:cs="Times New Roman"/>
                <w:kern w:val="0"/>
                <w:sz w:val="18"/>
                <w:szCs w:val="18"/>
              </w:rPr>
              <w:t>≤</w:t>
            </w:r>
            <w:r>
              <w:rPr>
                <w:rFonts w:ascii="Times New Roman" w:eastAsia="宋体" w:hAnsi="Times New Roman" w:cs="Times New Roman"/>
                <w:kern w:val="0"/>
                <w:sz w:val="18"/>
                <w:szCs w:val="18"/>
              </w:rPr>
              <w:t>60</w:t>
            </w:r>
            <w:r>
              <w:rPr>
                <w:rFonts w:ascii="Times New Roman" w:hAnsi="Times New Roman" w:cs="Times New Roman"/>
                <w:kern w:val="0"/>
                <w:sz w:val="18"/>
                <w:szCs w:val="18"/>
              </w:rPr>
              <w:t>分（按百分制折算）的学生须在第一学期选择学习</w:t>
            </w:r>
          </w:p>
        </w:tc>
      </w:tr>
      <w:tr w:rsidR="007B3E8E">
        <w:trPr>
          <w:trHeight w:val="454"/>
        </w:trPr>
        <w:tc>
          <w:tcPr>
            <w:tcW w:w="88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ENG102</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综合英语</w:t>
            </w:r>
            <w:r>
              <w:rPr>
                <w:rFonts w:ascii="宋体" w:hAnsi="宋体" w:cs="宋体"/>
                <w:kern w:val="0"/>
                <w:sz w:val="18"/>
                <w:szCs w:val="18"/>
              </w:rPr>
              <w:t>Ⅱ</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第一学期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高考英语成绩</w:t>
            </w:r>
            <w:r>
              <w:rPr>
                <w:rFonts w:ascii="Times New Roman" w:hAnsi="Times New Roman" w:cs="Times New Roman"/>
                <w:kern w:val="0"/>
                <w:sz w:val="18"/>
                <w:szCs w:val="18"/>
              </w:rPr>
              <w:t>≤</w:t>
            </w:r>
            <w:r>
              <w:rPr>
                <w:rFonts w:ascii="Times New Roman" w:eastAsia="宋体" w:hAnsi="Times New Roman" w:cs="Times New Roman"/>
                <w:kern w:val="0"/>
                <w:sz w:val="18"/>
                <w:szCs w:val="18"/>
              </w:rPr>
              <w:t>80</w:t>
            </w:r>
            <w:r>
              <w:rPr>
                <w:rFonts w:ascii="Times New Roman" w:hAnsi="Times New Roman" w:cs="Times New Roman"/>
                <w:kern w:val="0"/>
                <w:sz w:val="18"/>
                <w:szCs w:val="18"/>
              </w:rPr>
              <w:t>分（按百分制折算）的学生须在第一学期选择学习（部分招生计划类别录取的学生第二学期继续选修）</w:t>
            </w:r>
          </w:p>
        </w:tc>
      </w:tr>
      <w:tr w:rsidR="007B3E8E">
        <w:trPr>
          <w:trHeight w:val="454"/>
        </w:trPr>
        <w:tc>
          <w:tcPr>
            <w:tcW w:w="88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ENG103</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综合英语</w:t>
            </w:r>
            <w:r>
              <w:rPr>
                <w:rFonts w:ascii="宋体" w:hAnsi="宋体" w:cs="宋体"/>
                <w:kern w:val="0"/>
                <w:sz w:val="18"/>
                <w:szCs w:val="18"/>
              </w:rPr>
              <w:t>Ⅲ</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第一学期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高考英语成绩</w:t>
            </w:r>
            <w:r>
              <w:rPr>
                <w:rFonts w:ascii="Times New Roman" w:eastAsia="宋体" w:hAnsi="Times New Roman" w:cs="Times New Roman"/>
                <w:kern w:val="0"/>
                <w:sz w:val="18"/>
                <w:szCs w:val="18"/>
              </w:rPr>
              <w:t>&gt;80</w:t>
            </w:r>
            <w:r>
              <w:rPr>
                <w:rFonts w:ascii="Times New Roman" w:hAnsi="Times New Roman" w:cs="Times New Roman"/>
                <w:kern w:val="0"/>
                <w:sz w:val="18"/>
                <w:szCs w:val="18"/>
              </w:rPr>
              <w:t>分（按百分制折算）的学生须在第一学期选择学习</w:t>
            </w:r>
            <w:r>
              <w:rPr>
                <w:rFonts w:ascii="Times New Roman" w:eastAsia="宋体" w:hAnsi="Times New Roman" w:cs="Times New Roman"/>
                <w:kern w:val="0"/>
                <w:sz w:val="18"/>
                <w:szCs w:val="18"/>
              </w:rPr>
              <w:t xml:space="preserve">, </w:t>
            </w:r>
            <w:r>
              <w:rPr>
                <w:rFonts w:ascii="Times New Roman" w:hAnsi="Times New Roman" w:cs="Times New Roman"/>
                <w:kern w:val="0"/>
                <w:sz w:val="18"/>
                <w:szCs w:val="18"/>
              </w:rPr>
              <w:t>达到免修要求的可不选。</w:t>
            </w:r>
          </w:p>
        </w:tc>
      </w:tr>
      <w:tr w:rsidR="007B3E8E">
        <w:trPr>
          <w:trHeight w:val="454"/>
        </w:trPr>
        <w:tc>
          <w:tcPr>
            <w:tcW w:w="88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英语专项技能课程</w:t>
            </w:r>
          </w:p>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（必选一）</w:t>
            </w: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ENG201</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高级英语听力</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第二至六学期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8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ENG202</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大学英语写作</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第二至六学期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8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ENG203</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英语时文阅读</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第二至六学期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8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ENG204</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实用文体翻译</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第二至六学期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8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ENG301</w:t>
            </w:r>
          </w:p>
        </w:tc>
        <w:tc>
          <w:tcPr>
            <w:tcW w:w="828"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英语口语（外教）</w:t>
            </w:r>
          </w:p>
        </w:tc>
        <w:tc>
          <w:tcPr>
            <w:tcW w:w="70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第二至六学期</w:t>
            </w:r>
          </w:p>
        </w:tc>
        <w:tc>
          <w:tcPr>
            <w:tcW w:w="141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0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bl>
    <w:p w:rsidR="007B3E8E" w:rsidRDefault="00C23B50">
      <w:pPr>
        <w:pStyle w:val="1"/>
        <w:rPr>
          <w:rFonts w:ascii="Times New Roman" w:hAnsi="Times New Roman" w:cs="Times New Roman"/>
          <w:sz w:val="18"/>
          <w:szCs w:val="18"/>
        </w:rPr>
      </w:pPr>
      <w:r>
        <w:br w:type="page"/>
      </w:r>
    </w:p>
    <w:tbl>
      <w:tblPr>
        <w:tblW w:w="10023" w:type="dxa"/>
        <w:tblInd w:w="-579" w:type="dxa"/>
        <w:tblLayout w:type="fixed"/>
        <w:tblLook w:val="04A0" w:firstRow="1" w:lastRow="0" w:firstColumn="1" w:lastColumn="0" w:noHBand="0" w:noVBand="1"/>
      </w:tblPr>
      <w:tblGrid>
        <w:gridCol w:w="898"/>
        <w:gridCol w:w="1104"/>
        <w:gridCol w:w="854"/>
        <w:gridCol w:w="689"/>
        <w:gridCol w:w="882"/>
        <w:gridCol w:w="753"/>
        <w:gridCol w:w="1430"/>
        <w:gridCol w:w="3413"/>
      </w:tblGrid>
      <w:tr w:rsidR="007B3E8E">
        <w:trPr>
          <w:trHeight w:val="454"/>
        </w:trPr>
        <w:tc>
          <w:tcPr>
            <w:tcW w:w="89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pageBreakBefore/>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lastRenderedPageBreak/>
              <w:t>英语拓展课程</w:t>
            </w:r>
          </w:p>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（必选一）</w:t>
            </w:r>
          </w:p>
        </w:tc>
        <w:tc>
          <w:tcPr>
            <w:tcW w:w="110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ENG302</w:t>
            </w:r>
          </w:p>
        </w:tc>
        <w:tc>
          <w:tcPr>
            <w:tcW w:w="85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商务英语</w:t>
            </w:r>
          </w:p>
        </w:tc>
        <w:tc>
          <w:tcPr>
            <w:tcW w:w="689"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8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第二至六学期</w:t>
            </w:r>
          </w:p>
        </w:tc>
        <w:tc>
          <w:tcPr>
            <w:tcW w:w="143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除经贸外语学院，经管院，双语班，对外合作办学以外的各个专业</w:t>
            </w:r>
          </w:p>
        </w:tc>
        <w:tc>
          <w:tcPr>
            <w:tcW w:w="341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9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ENG303</w:t>
            </w:r>
          </w:p>
        </w:tc>
        <w:tc>
          <w:tcPr>
            <w:tcW w:w="85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英美文学</w:t>
            </w:r>
          </w:p>
        </w:tc>
        <w:tc>
          <w:tcPr>
            <w:tcW w:w="689"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8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第二至六学期</w:t>
            </w:r>
          </w:p>
        </w:tc>
        <w:tc>
          <w:tcPr>
            <w:tcW w:w="143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除经贸外语学院，经管院，双语班，对外合作办学以外的各个专业</w:t>
            </w:r>
          </w:p>
        </w:tc>
        <w:tc>
          <w:tcPr>
            <w:tcW w:w="341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9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ENG304</w:t>
            </w:r>
          </w:p>
        </w:tc>
        <w:tc>
          <w:tcPr>
            <w:tcW w:w="85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英美文化</w:t>
            </w:r>
          </w:p>
        </w:tc>
        <w:tc>
          <w:tcPr>
            <w:tcW w:w="689"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8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第二至六学期</w:t>
            </w:r>
          </w:p>
        </w:tc>
        <w:tc>
          <w:tcPr>
            <w:tcW w:w="143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除经贸外语学院，经管院，双语班，对外合作办学以外的各个专业</w:t>
            </w:r>
          </w:p>
        </w:tc>
        <w:tc>
          <w:tcPr>
            <w:tcW w:w="341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9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ENG323</w:t>
            </w:r>
          </w:p>
        </w:tc>
        <w:tc>
          <w:tcPr>
            <w:tcW w:w="85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学术英语写作</w:t>
            </w:r>
          </w:p>
        </w:tc>
        <w:tc>
          <w:tcPr>
            <w:tcW w:w="689"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8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第二至六学期</w:t>
            </w:r>
          </w:p>
        </w:tc>
        <w:tc>
          <w:tcPr>
            <w:tcW w:w="143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kern w:val="0"/>
                <w:sz w:val="18"/>
                <w:szCs w:val="18"/>
              </w:rPr>
              <w:t>除经贸外语学院，经管院，双语班，对外合作办学以外的各个专业</w:t>
            </w:r>
          </w:p>
        </w:tc>
        <w:tc>
          <w:tcPr>
            <w:tcW w:w="341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sz w:val="18"/>
                <w:szCs w:val="18"/>
              </w:rPr>
            </w:pPr>
            <w:r>
              <w:rPr>
                <w:rFonts w:ascii="Times New Roman" w:hAnsi="Times New Roman" w:cs="Times New Roman"/>
                <w:sz w:val="18"/>
                <w:szCs w:val="18"/>
              </w:rPr>
              <w:t>学生自由选择</w:t>
            </w:r>
            <w:r>
              <w:rPr>
                <w:rFonts w:ascii="Times New Roman" w:eastAsia="宋体" w:hAnsi="Times New Roman" w:cs="Times New Roman"/>
                <w:sz w:val="18"/>
                <w:szCs w:val="18"/>
              </w:rPr>
              <w:t xml:space="preserve">, </w:t>
            </w:r>
            <w:r>
              <w:rPr>
                <w:rFonts w:ascii="Times New Roman" w:hAnsi="Times New Roman" w:cs="Times New Roman"/>
                <w:kern w:val="0"/>
                <w:sz w:val="18"/>
                <w:szCs w:val="18"/>
              </w:rPr>
              <w:t>部分招生计划类别录取的学生</w:t>
            </w:r>
            <w:r>
              <w:rPr>
                <w:rFonts w:ascii="Times New Roman" w:hAnsi="Times New Roman" w:cs="Times New Roman"/>
                <w:sz w:val="18"/>
                <w:szCs w:val="18"/>
              </w:rPr>
              <w:t>第二学期继续选修综合英语</w:t>
            </w:r>
            <w:r>
              <w:rPr>
                <w:rFonts w:ascii="Times New Roman" w:hAnsi="Times New Roman" w:cs="Times New Roman"/>
                <w:sz w:val="18"/>
                <w:szCs w:val="18"/>
              </w:rPr>
              <w:t>Ⅱ</w:t>
            </w:r>
          </w:p>
        </w:tc>
      </w:tr>
      <w:tr w:rsidR="007B3E8E">
        <w:trPr>
          <w:trHeight w:val="454"/>
        </w:trPr>
        <w:tc>
          <w:tcPr>
            <w:tcW w:w="89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jc w:val="center"/>
              <w:rPr>
                <w:rFonts w:ascii="Times New Roman" w:eastAsia="宋体" w:hAnsi="Times New Roman" w:cs="Times New Roman"/>
                <w:kern w:val="0"/>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ENG330</w:t>
            </w:r>
          </w:p>
        </w:tc>
        <w:tc>
          <w:tcPr>
            <w:tcW w:w="85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hAnsi="Times New Roman" w:cs="Times New Roman"/>
                <w:kern w:val="0"/>
                <w:sz w:val="18"/>
                <w:szCs w:val="18"/>
              </w:rPr>
              <w:t>跨文化商务沟通</w:t>
            </w:r>
          </w:p>
        </w:tc>
        <w:tc>
          <w:tcPr>
            <w:tcW w:w="689"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88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kern w:val="0"/>
                <w:sz w:val="18"/>
                <w:szCs w:val="18"/>
              </w:rPr>
            </w:pPr>
            <w:r>
              <w:rPr>
                <w:rFonts w:ascii="Times New Roman" w:hAnsi="Times New Roman" w:cs="Times New Roman"/>
                <w:kern w:val="0"/>
                <w:sz w:val="18"/>
                <w:szCs w:val="18"/>
              </w:rPr>
              <w:t>第二至六学期</w:t>
            </w:r>
          </w:p>
        </w:tc>
        <w:tc>
          <w:tcPr>
            <w:tcW w:w="1430"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kern w:val="0"/>
                <w:sz w:val="18"/>
                <w:szCs w:val="18"/>
              </w:rPr>
            </w:pPr>
            <w:r>
              <w:rPr>
                <w:rFonts w:ascii="Times New Roman" w:hAnsi="Times New Roman" w:cs="Times New Roman"/>
                <w:kern w:val="0"/>
                <w:sz w:val="18"/>
                <w:szCs w:val="18"/>
              </w:rPr>
              <w:t>除经贸外语学院，经管院，双语班，对外合作办学以外的各个专业</w:t>
            </w:r>
          </w:p>
        </w:tc>
        <w:tc>
          <w:tcPr>
            <w:tcW w:w="3412"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jc w:val="center"/>
              <w:rPr>
                <w:rFonts w:ascii="Times New Roman" w:eastAsia="宋体" w:hAnsi="Times New Roman" w:cs="Times New Roman"/>
                <w:kern w:val="0"/>
                <w:sz w:val="18"/>
                <w:szCs w:val="18"/>
              </w:rPr>
            </w:pPr>
            <w:r>
              <w:rPr>
                <w:rFonts w:ascii="Times New Roman" w:hAnsi="Times New Roman" w:cs="Times New Roman"/>
                <w:kern w:val="0"/>
                <w:sz w:val="18"/>
                <w:szCs w:val="18"/>
              </w:rPr>
              <w:t>学生自由选择</w:t>
            </w:r>
            <w:r>
              <w:rPr>
                <w:rFonts w:ascii="Times New Roman" w:eastAsia="宋体" w:hAnsi="Times New Roman" w:cs="Times New Roman"/>
                <w:kern w:val="0"/>
                <w:sz w:val="18"/>
                <w:szCs w:val="18"/>
              </w:rPr>
              <w:t xml:space="preserve">, </w:t>
            </w:r>
            <w:r>
              <w:rPr>
                <w:rFonts w:ascii="Times New Roman" w:hAnsi="Times New Roman" w:cs="Times New Roman"/>
                <w:kern w:val="0"/>
                <w:sz w:val="18"/>
                <w:szCs w:val="18"/>
              </w:rPr>
              <w:t>部分招生计划类别录取的学生第二学期继续选修综合英语</w:t>
            </w:r>
            <w:r>
              <w:rPr>
                <w:rFonts w:ascii="Times New Roman" w:hAnsi="Times New Roman" w:cs="Times New Roman"/>
                <w:sz w:val="18"/>
                <w:szCs w:val="18"/>
              </w:rPr>
              <w:t>Ⅱ</w:t>
            </w:r>
          </w:p>
        </w:tc>
      </w:tr>
    </w:tbl>
    <w:p w:rsidR="007B3E8E" w:rsidRDefault="00C23B50">
      <w:pPr>
        <w:pStyle w:val="1"/>
        <w:widowControl/>
        <w:spacing w:before="240" w:after="240" w:line="360" w:lineRule="auto"/>
        <w:rPr>
          <w:rFonts w:ascii="仿宋" w:eastAsia="仿宋" w:hAnsi="仿宋" w:cs="仿宋"/>
          <w:bCs/>
        </w:rPr>
      </w:pPr>
      <w:r>
        <w:rPr>
          <w:rFonts w:ascii="仿宋" w:eastAsia="仿宋" w:hAnsi="仿宋" w:cs="仿宋"/>
          <w:bCs/>
        </w:rPr>
        <w:t>附表2</w:t>
      </w:r>
    </w:p>
    <w:p w:rsidR="007B3E8E" w:rsidRDefault="00C23B50">
      <w:pPr>
        <w:pStyle w:val="1"/>
        <w:widowControl/>
        <w:spacing w:before="240" w:after="240" w:line="360" w:lineRule="auto"/>
        <w:ind w:firstLine="480"/>
        <w:jc w:val="center"/>
        <w:rPr>
          <w:rFonts w:ascii="Times New Roman" w:eastAsia="黑体" w:hAnsi="Times New Roman" w:cs="Times New Roman"/>
          <w:b/>
          <w:sz w:val="30"/>
          <w:szCs w:val="30"/>
        </w:rPr>
      </w:pPr>
      <w:r>
        <w:rPr>
          <w:rFonts w:ascii="Times New Roman" w:eastAsia="黑体" w:hAnsi="Times New Roman" w:cs="Times New Roman"/>
          <w:b/>
          <w:sz w:val="30"/>
          <w:szCs w:val="30"/>
        </w:rPr>
        <w:t>大学英语学分减免标准表</w:t>
      </w:r>
    </w:p>
    <w:tbl>
      <w:tblPr>
        <w:tblW w:w="9660" w:type="dxa"/>
        <w:tblInd w:w="-593" w:type="dxa"/>
        <w:tblLayout w:type="fixed"/>
        <w:tblLook w:val="04A0" w:firstRow="1" w:lastRow="0" w:firstColumn="1" w:lastColumn="0" w:noHBand="0" w:noVBand="1"/>
      </w:tblPr>
      <w:tblGrid>
        <w:gridCol w:w="1864"/>
        <w:gridCol w:w="1157"/>
        <w:gridCol w:w="1837"/>
        <w:gridCol w:w="1106"/>
        <w:gridCol w:w="3696"/>
      </w:tblGrid>
      <w:tr w:rsidR="007B3E8E">
        <w:trPr>
          <w:trHeight w:val="408"/>
        </w:trPr>
        <w:tc>
          <w:tcPr>
            <w:tcW w:w="1864"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b/>
              </w:rPr>
            </w:pPr>
            <w:r>
              <w:rPr>
                <w:rFonts w:ascii="Times New Roman" w:hAnsi="Times New Roman" w:cs="Times New Roman"/>
                <w:b/>
              </w:rPr>
              <w:t>考试类型</w:t>
            </w:r>
          </w:p>
        </w:tc>
        <w:tc>
          <w:tcPr>
            <w:tcW w:w="115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b/>
              </w:rPr>
            </w:pPr>
            <w:r>
              <w:rPr>
                <w:rFonts w:ascii="Times New Roman" w:hAnsi="Times New Roman" w:cs="Times New Roman"/>
                <w:b/>
              </w:rPr>
              <w:t>总分</w:t>
            </w: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b/>
              </w:rPr>
            </w:pPr>
            <w:r>
              <w:rPr>
                <w:rFonts w:ascii="Times New Roman" w:hAnsi="Times New Roman" w:cs="Times New Roman"/>
                <w:b/>
              </w:rPr>
              <w:t>总成绩比例</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b/>
              </w:rPr>
            </w:pPr>
            <w:r>
              <w:rPr>
                <w:rFonts w:ascii="Times New Roman" w:hAnsi="Times New Roman" w:cs="Times New Roman"/>
                <w:b/>
              </w:rPr>
              <w:t>免修学分</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b/>
              </w:rPr>
            </w:pPr>
            <w:r>
              <w:rPr>
                <w:rFonts w:ascii="Times New Roman" w:hAnsi="Times New Roman" w:cs="Times New Roman"/>
                <w:b/>
              </w:rPr>
              <w:t>百分比计对应成绩</w:t>
            </w:r>
          </w:p>
        </w:tc>
      </w:tr>
      <w:tr w:rsidR="007B3E8E">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大学英语</w:t>
            </w:r>
          </w:p>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四级</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710</w:t>
            </w: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95%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696"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100%</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90%</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696"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696"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r>
      <w:tr w:rsidR="007B3E8E">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大学英语</w:t>
            </w:r>
          </w:p>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六级</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710</w:t>
            </w: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90%</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696"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100%</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696"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80%</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696"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r>
      <w:tr w:rsidR="007B3E8E">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雅思</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9</w:t>
            </w: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83%</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114%</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77%</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116%</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72%</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b/>
                <w:bCs/>
              </w:rPr>
            </w:pPr>
            <w:r>
              <w:rPr>
                <w:rFonts w:ascii="Times New Roman" w:hAnsi="Times New Roman" w:cs="Times New Roman"/>
              </w:rPr>
              <w:t>免修课程的成绩按照</w:t>
            </w:r>
            <w:r>
              <w:rPr>
                <w:rFonts w:ascii="Times New Roman" w:eastAsia="宋体" w:hAnsi="Times New Roman" w:cs="Times New Roman"/>
              </w:rPr>
              <w:t>118%</w:t>
            </w:r>
            <w:r>
              <w:rPr>
                <w:rFonts w:ascii="Times New Roman" w:hAnsi="Times New Roman" w:cs="Times New Roman"/>
              </w:rPr>
              <w:t>的系数折算</w:t>
            </w:r>
          </w:p>
        </w:tc>
      </w:tr>
      <w:tr w:rsidR="007B3E8E">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托福</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120</w:t>
            </w: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87%</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109%</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82%</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6</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109%</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113%</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70%</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114%</w:t>
            </w:r>
            <w:r>
              <w:rPr>
                <w:rFonts w:ascii="Times New Roman" w:hAnsi="Times New Roman" w:cs="Times New Roman"/>
              </w:rPr>
              <w:t>的系数折算</w:t>
            </w:r>
          </w:p>
        </w:tc>
      </w:tr>
      <w:tr w:rsidR="007B3E8E">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GRE</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346</w:t>
            </w: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80%</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118%</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6</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120%</w:t>
            </w:r>
            <w:r>
              <w:rPr>
                <w:rFonts w:ascii="Times New Roman" w:hAnsi="Times New Roman" w:cs="Times New Roman"/>
              </w:rPr>
              <w:t>的系数折</w:t>
            </w:r>
            <w:r>
              <w:rPr>
                <w:rFonts w:ascii="Times New Roman" w:hAnsi="Times New Roman" w:cs="Times New Roman"/>
              </w:rPr>
              <w:lastRenderedPageBreak/>
              <w:t>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70%</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121%</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65%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123%</w:t>
            </w:r>
            <w:r>
              <w:rPr>
                <w:rFonts w:ascii="Times New Roman" w:hAnsi="Times New Roman" w:cs="Times New Roman"/>
              </w:rPr>
              <w:t>的系数折算</w:t>
            </w:r>
          </w:p>
        </w:tc>
      </w:tr>
      <w:tr w:rsidR="007B3E8E">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GMAT</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800</w:t>
            </w: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81%</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117%</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6</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120%</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70%</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121%</w:t>
            </w:r>
            <w:r>
              <w:rPr>
                <w:rFonts w:ascii="Times New Roman" w:hAnsi="Times New Roman" w:cs="Times New Roman"/>
              </w:rPr>
              <w:t>的系数折算</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65%</w:t>
            </w:r>
            <w:r>
              <w:rPr>
                <w:rFonts w:ascii="Times New Roman" w:hAnsi="Times New Roman" w:cs="Times New Roman"/>
              </w:rPr>
              <w:t>及以上</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免修课程的成绩按照</w:t>
            </w:r>
            <w:r>
              <w:rPr>
                <w:rFonts w:ascii="Times New Roman" w:eastAsia="宋体" w:hAnsi="Times New Roman" w:cs="Times New Roman"/>
              </w:rPr>
              <w:t>123%</w:t>
            </w:r>
            <w:r>
              <w:rPr>
                <w:rFonts w:ascii="Times New Roman" w:hAnsi="Times New Roman" w:cs="Times New Roman"/>
              </w:rPr>
              <w:t>的系数折算</w:t>
            </w:r>
          </w:p>
        </w:tc>
      </w:tr>
      <w:tr w:rsidR="007B3E8E">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国际人才</w:t>
            </w:r>
          </w:p>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英语考试</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通过高翻</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95</w:t>
            </w:r>
            <w:r>
              <w:rPr>
                <w:rFonts w:ascii="Times New Roman" w:hAnsi="Times New Roman" w:cs="Times New Roman"/>
              </w:rPr>
              <w:t>分</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通过高端</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6</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90</w:t>
            </w:r>
            <w:r>
              <w:rPr>
                <w:rFonts w:ascii="Times New Roman" w:hAnsi="Times New Roman" w:cs="Times New Roman"/>
              </w:rPr>
              <w:t>分</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通过高级</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4</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85</w:t>
            </w:r>
            <w:r>
              <w:rPr>
                <w:rFonts w:ascii="Times New Roman" w:hAnsi="Times New Roman" w:cs="Times New Roman"/>
              </w:rPr>
              <w:t>分</w:t>
            </w:r>
          </w:p>
        </w:tc>
      </w:tr>
      <w:tr w:rsidR="007B3E8E">
        <w:tc>
          <w:tcPr>
            <w:tcW w:w="1864"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7B3E8E" w:rsidRDefault="007B3E8E">
            <w:pPr>
              <w:pStyle w:val="1"/>
              <w:spacing w:line="360" w:lineRule="auto"/>
              <w:jc w:val="center"/>
              <w:rPr>
                <w:rFonts w:ascii="Times New Roman" w:eastAsia="宋体"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hAnsi="Times New Roman" w:cs="Times New Roman"/>
              </w:rPr>
              <w:t>通过中级</w:t>
            </w:r>
          </w:p>
        </w:tc>
        <w:tc>
          <w:tcPr>
            <w:tcW w:w="110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2</w:t>
            </w:r>
          </w:p>
        </w:tc>
        <w:tc>
          <w:tcPr>
            <w:tcW w:w="3696" w:type="dxa"/>
            <w:tcBorders>
              <w:top w:val="single" w:sz="4" w:space="0" w:color="000000"/>
              <w:left w:val="single" w:sz="4" w:space="0" w:color="000000"/>
              <w:bottom w:val="single" w:sz="4" w:space="0" w:color="000000"/>
              <w:right w:val="single" w:sz="4" w:space="0" w:color="000000"/>
            </w:tcBorders>
            <w:vAlign w:val="center"/>
          </w:tcPr>
          <w:p w:rsidR="007B3E8E" w:rsidRDefault="00C23B50">
            <w:pPr>
              <w:pStyle w:val="1"/>
              <w:spacing w:line="360" w:lineRule="auto"/>
              <w:jc w:val="center"/>
              <w:rPr>
                <w:rFonts w:ascii="Times New Roman" w:eastAsia="宋体" w:hAnsi="Times New Roman" w:cs="Times New Roman"/>
              </w:rPr>
            </w:pPr>
            <w:r>
              <w:rPr>
                <w:rFonts w:ascii="Times New Roman" w:eastAsia="宋体" w:hAnsi="Times New Roman" w:cs="Times New Roman"/>
              </w:rPr>
              <w:t>80</w:t>
            </w:r>
            <w:r>
              <w:rPr>
                <w:rFonts w:ascii="Times New Roman" w:hAnsi="Times New Roman" w:cs="Times New Roman"/>
              </w:rPr>
              <w:t>分</w:t>
            </w:r>
          </w:p>
        </w:tc>
      </w:tr>
    </w:tbl>
    <w:p w:rsidR="007B3E8E" w:rsidRDefault="007B3E8E">
      <w:pPr>
        <w:pStyle w:val="1"/>
        <w:spacing w:line="360" w:lineRule="auto"/>
      </w:pPr>
    </w:p>
    <w:sectPr w:rsidR="007B3E8E">
      <w:pgSz w:w="11906" w:h="16838"/>
      <w:pgMar w:top="737" w:right="1800" w:bottom="737" w:left="1800" w:header="0" w:footer="0" w:gutter="0"/>
      <w:cols w:space="720"/>
      <w:formProt w:val="0"/>
      <w:docGrid w:type="lines" w:linePitch="313" w:charSpace="1409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B8" w:rsidRDefault="00DA2BB8" w:rsidP="003B0A82">
      <w:r>
        <w:separator/>
      </w:r>
    </w:p>
  </w:endnote>
  <w:endnote w:type="continuationSeparator" w:id="0">
    <w:p w:rsidR="00DA2BB8" w:rsidRDefault="00DA2BB8" w:rsidP="003B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B8" w:rsidRDefault="00DA2BB8" w:rsidP="003B0A82">
      <w:r>
        <w:separator/>
      </w:r>
    </w:p>
  </w:footnote>
  <w:footnote w:type="continuationSeparator" w:id="0">
    <w:p w:rsidR="00DA2BB8" w:rsidRDefault="00DA2BB8" w:rsidP="003B0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8E"/>
    <w:rsid w:val="003B0A82"/>
    <w:rsid w:val="007B3E8E"/>
    <w:rsid w:val="00B736F2"/>
    <w:rsid w:val="00C23B50"/>
    <w:rsid w:val="00DA2BB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945E1"/>
  <w15:docId w15:val="{912B1BFA-7697-4958-B2C6-CC25F7A2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jc w:val="both"/>
    </w:pPr>
    <w:rPr>
      <w:kern w:val="2"/>
      <w:sz w:val="21"/>
      <w:szCs w:val="22"/>
    </w:rPr>
  </w:style>
  <w:style w:type="paragraph" w:styleId="a3">
    <w:name w:val="header"/>
    <w:basedOn w:val="a"/>
    <w:link w:val="a4"/>
    <w:qFormat/>
    <w:rsid w:val="003B0A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B0A82"/>
    <w:rPr>
      <w:sz w:val="18"/>
      <w:szCs w:val="18"/>
    </w:rPr>
  </w:style>
  <w:style w:type="paragraph" w:styleId="a5">
    <w:name w:val="footer"/>
    <w:basedOn w:val="a"/>
    <w:link w:val="a6"/>
    <w:qFormat/>
    <w:rsid w:val="003B0A82"/>
    <w:pPr>
      <w:tabs>
        <w:tab w:val="center" w:pos="4153"/>
        <w:tab w:val="right" w:pos="8306"/>
      </w:tabs>
      <w:snapToGrid w:val="0"/>
      <w:jc w:val="left"/>
    </w:pPr>
    <w:rPr>
      <w:sz w:val="18"/>
      <w:szCs w:val="18"/>
    </w:rPr>
  </w:style>
  <w:style w:type="character" w:customStyle="1" w:styleId="a6">
    <w:name w:val="页脚 字符"/>
    <w:basedOn w:val="a0"/>
    <w:link w:val="a5"/>
    <w:rsid w:val="003B0A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530</Words>
  <Characters>3026</Characters>
  <Application>Microsoft Office Word</Application>
  <DocSecurity>0</DocSecurity>
  <Lines>25</Lines>
  <Paragraphs>7</Paragraphs>
  <ScaleCrop>false</ScaleCrop>
  <Company>神州网信技术有限公司</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c:creator>
  <dc:description/>
  <cp:lastModifiedBy>何娟</cp:lastModifiedBy>
  <cp:revision>8</cp:revision>
  <cp:lastPrinted>2020-09-23T06:15:00Z</cp:lastPrinted>
  <dcterms:created xsi:type="dcterms:W3CDTF">2022-09-16T12:31:00Z</dcterms:created>
  <dcterms:modified xsi:type="dcterms:W3CDTF">2023-03-21T06:03:00Z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567A2B37228A46C7BFAE0AA500CD7935</vt:lpwstr>
  </property>
  <property fmtid="{D5CDD505-2E9C-101B-9397-08002B2CF9AE}" pid="3" name="KSOProductBuildVer">
    <vt:lpwstr>2052-11.1.0.12358</vt:lpwstr>
  </property>
</Properties>
</file>