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4924E">
      <w:pPr>
        <w:spacing w:line="360" w:lineRule="auto"/>
        <w:jc w:val="center"/>
        <w:rPr>
          <w:rFonts w:ascii="仿宋_GB2312" w:hAnsi="Times New Roman" w:eastAsia="仿宋_GB2312"/>
          <w:b/>
          <w:color w:val="auto"/>
          <w:sz w:val="32"/>
          <w:szCs w:val="32"/>
        </w:rPr>
      </w:pPr>
      <w:r>
        <w:rPr>
          <w:rFonts w:ascii="仿宋_GB2312" w:hAnsi="Times New Roman" w:eastAsia="仿宋_GB2312"/>
          <w:b/>
          <w:color w:val="auto"/>
          <w:sz w:val="32"/>
          <w:szCs w:val="32"/>
        </w:rPr>
        <w:t>西南财经大学数学荣誉课程和荣誉学士学位</w:t>
      </w:r>
      <w:r>
        <w:rPr>
          <w:rFonts w:hint="eastAsia" w:ascii="仿宋_GB2312" w:hAnsi="Times New Roman" w:eastAsia="仿宋_GB2312"/>
          <w:b/>
          <w:color w:val="auto"/>
          <w:sz w:val="32"/>
          <w:szCs w:val="32"/>
        </w:rPr>
        <w:t>工作方案</w:t>
      </w:r>
    </w:p>
    <w:p w14:paraId="1B863FF2">
      <w:pPr>
        <w:spacing w:line="360" w:lineRule="auto"/>
        <w:jc w:val="center"/>
        <w:rPr>
          <w:rFonts w:ascii="仿宋_GB2312" w:hAnsi="Times New Roman" w:eastAsia="仿宋_GB2312"/>
          <w:color w:val="auto"/>
          <w:sz w:val="24"/>
          <w:szCs w:val="32"/>
        </w:rPr>
      </w:pPr>
      <w:r>
        <w:rPr>
          <w:rFonts w:hint="eastAsia" w:ascii="仿宋_GB2312" w:hAnsi="Times New Roman" w:eastAsia="仿宋_GB2312"/>
          <w:color w:val="auto"/>
          <w:sz w:val="24"/>
          <w:szCs w:val="32"/>
        </w:rPr>
        <w:t>（</w:t>
      </w:r>
      <w:r>
        <w:rPr>
          <w:rFonts w:hint="eastAsia" w:ascii="仿宋_GB2312" w:hAnsi="Times New Roman" w:eastAsia="仿宋_GB2312"/>
          <w:color w:val="auto"/>
          <w:sz w:val="24"/>
          <w:szCs w:val="32"/>
          <w:highlight w:val="none"/>
        </w:rPr>
        <w:t>202</w:t>
      </w:r>
      <w:r>
        <w:rPr>
          <w:rFonts w:hint="eastAsia" w:ascii="仿宋_GB2312" w:hAnsi="Times New Roman" w:eastAsia="仿宋_GB2312"/>
          <w:color w:val="auto"/>
          <w:sz w:val="24"/>
          <w:szCs w:val="32"/>
          <w:highlight w:val="none"/>
          <w:lang w:val="en-US" w:eastAsia="zh-CN"/>
        </w:rPr>
        <w:t>6</w:t>
      </w:r>
      <w:r>
        <w:rPr>
          <w:rFonts w:hint="eastAsia" w:ascii="仿宋_GB2312" w:hAnsi="Times New Roman" w:eastAsia="仿宋_GB2312"/>
          <w:color w:val="auto"/>
          <w:sz w:val="24"/>
          <w:szCs w:val="32"/>
          <w:highlight w:val="none"/>
        </w:rPr>
        <w:t>年</w:t>
      </w:r>
      <w:r>
        <w:rPr>
          <w:rFonts w:hint="eastAsia" w:ascii="仿宋_GB2312" w:hAnsi="Times New Roman" w:eastAsia="仿宋_GB2312"/>
          <w:color w:val="auto"/>
          <w:sz w:val="24"/>
          <w:szCs w:val="32"/>
          <w:highlight w:val="none"/>
          <w:lang w:val="en-US" w:eastAsia="zh-CN"/>
        </w:rPr>
        <w:t>4</w:t>
      </w:r>
      <w:r>
        <w:rPr>
          <w:rFonts w:hint="eastAsia" w:ascii="仿宋_GB2312" w:hAnsi="Times New Roman" w:eastAsia="仿宋_GB2312"/>
          <w:color w:val="auto"/>
          <w:sz w:val="24"/>
          <w:szCs w:val="32"/>
          <w:highlight w:val="none"/>
        </w:rPr>
        <w:t>月第</w:t>
      </w:r>
      <w:r>
        <w:rPr>
          <w:rFonts w:hint="eastAsia" w:ascii="仿宋_GB2312" w:hAnsi="Times New Roman" w:eastAsia="仿宋_GB2312"/>
          <w:color w:val="auto"/>
          <w:sz w:val="24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/>
          <w:color w:val="auto"/>
          <w:sz w:val="24"/>
          <w:szCs w:val="32"/>
          <w:highlight w:val="none"/>
        </w:rPr>
        <w:t>次修订</w:t>
      </w:r>
      <w:r>
        <w:rPr>
          <w:rFonts w:hint="eastAsia" w:ascii="仿宋_GB2312" w:hAnsi="Times New Roman" w:eastAsia="仿宋_GB2312"/>
          <w:color w:val="auto"/>
          <w:sz w:val="24"/>
          <w:szCs w:val="32"/>
          <w:highlight w:val="none"/>
        </w:rPr>
        <w:t>）</w:t>
      </w:r>
    </w:p>
    <w:p w14:paraId="6FB79D37">
      <w:pPr>
        <w:spacing w:line="360" w:lineRule="auto"/>
        <w:ind w:firstLine="643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ascii="仿宋_GB2312" w:hAnsi="Times New Roman" w:eastAsia="仿宋_GB2312"/>
          <w:b/>
          <w:color w:val="auto"/>
          <w:sz w:val="32"/>
          <w:szCs w:val="32"/>
        </w:rPr>
        <w:t xml:space="preserve">第一条 </w:t>
      </w:r>
      <w:r>
        <w:rPr>
          <w:rFonts w:ascii="仿宋_GB2312" w:hAnsi="Times New Roman" w:eastAsia="仿宋_GB2312"/>
          <w:color w:val="auto"/>
          <w:sz w:val="32"/>
          <w:szCs w:val="32"/>
        </w:rPr>
        <w:t xml:space="preserve"> 为鼓励优秀本科生修读更具挑战性的课程，激发学生学习潜能，引导学生追求卓越，特制定本</w:t>
      </w:r>
      <w:bookmarkStart w:id="0" w:name="_GoBack"/>
      <w:bookmarkEnd w:id="0"/>
      <w:r>
        <w:rPr>
          <w:rFonts w:ascii="仿宋_GB2312" w:hAnsi="Times New Roman" w:eastAsia="仿宋_GB2312"/>
          <w:color w:val="auto"/>
          <w:sz w:val="32"/>
          <w:szCs w:val="32"/>
        </w:rPr>
        <w:t>方案。</w:t>
      </w:r>
    </w:p>
    <w:p w14:paraId="3EEF22D9">
      <w:pPr>
        <w:spacing w:line="360" w:lineRule="auto"/>
        <w:ind w:firstLine="643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ascii="仿宋_GB2312" w:hAnsi="Times New Roman" w:eastAsia="仿宋_GB2312"/>
          <w:b/>
          <w:color w:val="auto"/>
          <w:sz w:val="32"/>
          <w:szCs w:val="32"/>
        </w:rPr>
        <w:t xml:space="preserve">第二条 </w:t>
      </w:r>
      <w:r>
        <w:rPr>
          <w:rFonts w:ascii="仿宋_GB2312" w:hAnsi="Times New Roman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数学</w:t>
      </w:r>
      <w:r>
        <w:rPr>
          <w:rFonts w:ascii="仿宋_GB2312" w:hAnsi="Times New Roman" w:eastAsia="仿宋_GB2312"/>
          <w:color w:val="auto"/>
          <w:sz w:val="32"/>
          <w:szCs w:val="32"/>
        </w:rPr>
        <w:t>荣誉学士学位面向全校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非数学学院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）</w:t>
      </w:r>
      <w:r>
        <w:rPr>
          <w:rFonts w:ascii="仿宋_GB2312" w:hAnsi="Times New Roman" w:eastAsia="仿宋_GB2312"/>
          <w:color w:val="auto"/>
          <w:sz w:val="32"/>
          <w:szCs w:val="32"/>
        </w:rPr>
        <w:t>本科生设立，以一批高质量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数学</w:t>
      </w:r>
      <w:r>
        <w:rPr>
          <w:rFonts w:ascii="仿宋_GB2312" w:hAnsi="Times New Roman" w:eastAsia="仿宋_GB2312"/>
          <w:color w:val="auto"/>
          <w:sz w:val="32"/>
          <w:szCs w:val="32"/>
        </w:rPr>
        <w:t>荣誉课程为支撑。学生修满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规定</w:t>
      </w:r>
      <w:r>
        <w:rPr>
          <w:rFonts w:ascii="仿宋_GB2312" w:hAnsi="Times New Roman" w:eastAsia="仿宋_GB2312"/>
          <w:color w:val="auto"/>
          <w:sz w:val="32"/>
          <w:szCs w:val="32"/>
        </w:rPr>
        <w:t>数量的数学荣誉课程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且</w:t>
      </w:r>
      <w:r>
        <w:rPr>
          <w:rFonts w:ascii="仿宋_GB2312" w:hAnsi="Times New Roman" w:eastAsia="仿宋_GB2312"/>
          <w:color w:val="auto"/>
          <w:sz w:val="32"/>
          <w:szCs w:val="32"/>
        </w:rPr>
        <w:t>满足学校规定的其他条件，学校授予数学荣誉学士学位。</w:t>
      </w:r>
    </w:p>
    <w:p w14:paraId="6831FB20">
      <w:pPr>
        <w:spacing w:line="360" w:lineRule="auto"/>
        <w:ind w:firstLine="643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ascii="仿宋_GB2312" w:hAnsi="Times New Roman" w:eastAsia="仿宋_GB2312"/>
          <w:b/>
          <w:color w:val="auto"/>
          <w:sz w:val="32"/>
          <w:szCs w:val="32"/>
        </w:rPr>
        <w:t xml:space="preserve">第三条 </w:t>
      </w:r>
      <w:r>
        <w:rPr>
          <w:rFonts w:ascii="仿宋_GB2312" w:hAnsi="Times New Roman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数学</w:t>
      </w:r>
      <w:r>
        <w:rPr>
          <w:rFonts w:ascii="仿宋_GB2312" w:hAnsi="Times New Roman" w:eastAsia="仿宋_GB2312"/>
          <w:color w:val="auto"/>
          <w:sz w:val="32"/>
          <w:szCs w:val="32"/>
        </w:rPr>
        <w:t>荣誉课程内容应吸收最新科研和实践成果，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突出</w:t>
      </w:r>
      <w:r>
        <w:rPr>
          <w:rFonts w:ascii="仿宋_GB2312" w:hAnsi="Times New Roman" w:eastAsia="仿宋_GB2312"/>
          <w:color w:val="auto"/>
          <w:sz w:val="32"/>
          <w:szCs w:val="32"/>
        </w:rPr>
        <w:t>前沿性和创新性，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提升</w:t>
      </w:r>
      <w:r>
        <w:rPr>
          <w:rFonts w:ascii="仿宋_GB2312" w:hAnsi="Times New Roman" w:eastAsia="仿宋_GB2312"/>
          <w:color w:val="auto"/>
          <w:sz w:val="32"/>
          <w:szCs w:val="32"/>
        </w:rPr>
        <w:t>内容难度和理论深度，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深彻</w:t>
      </w:r>
      <w:r>
        <w:rPr>
          <w:rFonts w:ascii="仿宋_GB2312" w:hAnsi="Times New Roman" w:eastAsia="仿宋_GB2312"/>
          <w:color w:val="auto"/>
          <w:sz w:val="32"/>
          <w:szCs w:val="32"/>
        </w:rPr>
        <w:t>转变教学范式。</w:t>
      </w:r>
    </w:p>
    <w:p w14:paraId="2BB76741">
      <w:pPr>
        <w:spacing w:line="360" w:lineRule="auto"/>
        <w:ind w:firstLine="643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ascii="仿宋_GB2312" w:hAnsi="Times New Roman" w:eastAsia="仿宋_GB2312"/>
          <w:b/>
          <w:color w:val="auto"/>
          <w:sz w:val="32"/>
          <w:szCs w:val="32"/>
        </w:rPr>
        <w:t>第四条</w:t>
      </w:r>
      <w:r>
        <w:rPr>
          <w:rFonts w:ascii="仿宋_GB2312" w:hAnsi="Times New Roman" w:eastAsia="仿宋_GB2312"/>
          <w:color w:val="auto"/>
          <w:sz w:val="32"/>
          <w:szCs w:val="32"/>
        </w:rPr>
        <w:t xml:space="preserve">  数学荣誉课程是指难度高于本专业人才培养方案要求的数学课程，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分为两类：一是</w:t>
      </w:r>
      <w:r>
        <w:rPr>
          <w:rFonts w:ascii="仿宋_GB2312" w:hAnsi="Times New Roman" w:eastAsia="仿宋_GB2312"/>
          <w:color w:val="auto"/>
          <w:sz w:val="32"/>
          <w:szCs w:val="32"/>
        </w:rPr>
        <w:t>学校在通识教育基础课中开设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的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ascii="仿宋_GB2312" w:hAnsi="Times New Roman" w:eastAsia="仿宋_GB2312"/>
          <w:color w:val="auto"/>
          <w:sz w:val="32"/>
          <w:szCs w:val="32"/>
        </w:rPr>
        <w:t>难度高于本专业人才培养方案要求的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部分</w:t>
      </w:r>
      <w:r>
        <w:rPr>
          <w:rFonts w:ascii="仿宋_GB2312" w:hAnsi="Times New Roman" w:eastAsia="仿宋_GB2312"/>
          <w:color w:val="auto"/>
          <w:sz w:val="32"/>
          <w:szCs w:val="32"/>
        </w:rPr>
        <w:t>数学课程（I类课程）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二是</w:t>
      </w:r>
      <w:r>
        <w:rPr>
          <w:rFonts w:ascii="仿宋_GB2312" w:hAnsi="Times New Roman" w:eastAsia="仿宋_GB2312"/>
          <w:color w:val="auto"/>
          <w:sz w:val="32"/>
          <w:szCs w:val="32"/>
        </w:rPr>
        <w:t>学校专门开设的数学荣誉课程（II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类</w:t>
      </w:r>
      <w:r>
        <w:rPr>
          <w:rFonts w:ascii="仿宋_GB2312" w:hAnsi="Times New Roman" w:eastAsia="仿宋_GB2312"/>
          <w:color w:val="auto"/>
          <w:sz w:val="32"/>
          <w:szCs w:val="32"/>
        </w:rPr>
        <w:t>课程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）。</w:t>
      </w:r>
    </w:p>
    <w:p w14:paraId="423D03F1">
      <w:pPr>
        <w:spacing w:line="360" w:lineRule="auto"/>
        <w:ind w:firstLine="643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/>
          <w:b/>
          <w:color w:val="auto"/>
          <w:sz w:val="32"/>
          <w:szCs w:val="32"/>
          <w:highlight w:val="none"/>
        </w:rPr>
        <w:t xml:space="preserve">第五条  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I类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数学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荣誉课程中同类型课程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可作为本专业人才培养方案所要求的数学必修课程，也可作为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通识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选修课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程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；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val="en-US" w:eastAsia="zh-CN"/>
        </w:rPr>
        <w:t>学生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不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val="en-US" w:eastAsia="zh-CN"/>
        </w:rPr>
        <w:t>得同时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选修本专业培养方案所要求的数学必修课和I类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数学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荣誉课程中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同类型课程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。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II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类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数学荣誉课程作为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通识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选修课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程。</w:t>
      </w:r>
    </w:p>
    <w:p w14:paraId="0B01D52E">
      <w:pPr>
        <w:spacing w:line="360" w:lineRule="auto"/>
        <w:ind w:firstLine="640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学生修读</w:t>
      </w:r>
      <w:r>
        <w:rPr>
          <w:rFonts w:ascii="仿宋_GB2312" w:hAnsi="Times New Roman" w:eastAsia="仿宋_GB2312"/>
          <w:color w:val="auto"/>
          <w:sz w:val="32"/>
          <w:szCs w:val="32"/>
        </w:rPr>
        <w:t>数学荣誉课程不合格的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该课程</w:t>
      </w:r>
      <w:r>
        <w:rPr>
          <w:rFonts w:ascii="仿宋_GB2312" w:hAnsi="Times New Roman" w:eastAsia="仿宋_GB2312"/>
          <w:color w:val="auto"/>
          <w:sz w:val="32"/>
          <w:szCs w:val="32"/>
        </w:rPr>
        <w:t>不纳入重修范围，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不允许重修，</w:t>
      </w:r>
      <w:r>
        <w:rPr>
          <w:rFonts w:ascii="仿宋_GB2312" w:hAnsi="Times New Roman" w:eastAsia="仿宋_GB2312"/>
          <w:color w:val="auto"/>
          <w:sz w:val="32"/>
          <w:szCs w:val="32"/>
        </w:rPr>
        <w:t>不影响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其</w:t>
      </w:r>
      <w:r>
        <w:rPr>
          <w:rFonts w:ascii="仿宋_GB2312" w:hAnsi="Times New Roman" w:eastAsia="仿宋_GB2312"/>
          <w:color w:val="auto"/>
          <w:sz w:val="32"/>
          <w:szCs w:val="32"/>
        </w:rPr>
        <w:t>转专业、保研及评奖评优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但</w:t>
      </w:r>
      <w:r>
        <w:rPr>
          <w:rFonts w:ascii="仿宋_GB2312" w:hAnsi="Times New Roman" w:eastAsia="仿宋_GB2312"/>
          <w:color w:val="auto"/>
          <w:sz w:val="32"/>
          <w:szCs w:val="32"/>
        </w:rPr>
        <w:t>须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补修</w:t>
      </w:r>
      <w:r>
        <w:rPr>
          <w:rFonts w:ascii="仿宋_GB2312" w:hAnsi="Times New Roman" w:eastAsia="仿宋_GB2312"/>
          <w:color w:val="auto"/>
          <w:sz w:val="32"/>
          <w:szCs w:val="32"/>
        </w:rPr>
        <w:t>本专业人才培养方案要求的数学必修课程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。学生毕业前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须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完成本专业人才培养方案规定的全部数学课程</w:t>
      </w:r>
      <w:r>
        <w:rPr>
          <w:rFonts w:ascii="仿宋_GB2312" w:hAnsi="Times New Roman" w:eastAsia="仿宋_GB2312"/>
          <w:color w:val="auto"/>
          <w:sz w:val="32"/>
          <w:szCs w:val="32"/>
        </w:rPr>
        <w:t>。</w:t>
      </w:r>
    </w:p>
    <w:p w14:paraId="6116E5D1">
      <w:pPr>
        <w:spacing w:line="360" w:lineRule="auto"/>
        <w:ind w:firstLine="643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ascii="仿宋_GB2312" w:hAnsi="Times New Roman" w:eastAsia="仿宋_GB2312"/>
          <w:b/>
          <w:color w:val="auto"/>
          <w:sz w:val="32"/>
          <w:szCs w:val="32"/>
        </w:rPr>
        <w:t>第</w:t>
      </w:r>
      <w:r>
        <w:rPr>
          <w:rFonts w:hint="eastAsia" w:ascii="仿宋_GB2312" w:hAnsi="Times New Roman" w:eastAsia="仿宋_GB2312"/>
          <w:b/>
          <w:color w:val="auto"/>
          <w:sz w:val="32"/>
          <w:szCs w:val="32"/>
        </w:rPr>
        <w:t>六</w:t>
      </w:r>
      <w:r>
        <w:rPr>
          <w:rFonts w:ascii="仿宋_GB2312" w:hAnsi="Times New Roman" w:eastAsia="仿宋_GB2312"/>
          <w:b/>
          <w:color w:val="auto"/>
          <w:sz w:val="32"/>
          <w:szCs w:val="32"/>
        </w:rPr>
        <w:t>条</w:t>
      </w:r>
      <w:r>
        <w:rPr>
          <w:rFonts w:ascii="仿宋_GB2312" w:hAnsi="Times New Roman" w:eastAsia="仿宋_GB2312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修读</w:t>
      </w:r>
      <w:r>
        <w:rPr>
          <w:rFonts w:ascii="仿宋_GB2312" w:hAnsi="Times New Roman" w:eastAsia="仿宋_GB2312"/>
          <w:color w:val="auto"/>
          <w:sz w:val="32"/>
          <w:szCs w:val="32"/>
        </w:rPr>
        <w:t>4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门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及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以上I类数学荣誉课程或修读</w:t>
      </w:r>
      <w:r>
        <w:rPr>
          <w:rFonts w:ascii="仿宋_GB2312" w:hAnsi="Times New Roman" w:eastAsia="仿宋_GB2312"/>
          <w:color w:val="auto"/>
          <w:sz w:val="32"/>
          <w:szCs w:val="32"/>
        </w:rPr>
        <w:t>2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门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及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以上</w:t>
      </w:r>
      <w:r>
        <w:rPr>
          <w:rFonts w:ascii="仿宋_GB2312" w:hAnsi="Times New Roman" w:eastAsia="仿宋_GB2312"/>
          <w:color w:val="auto"/>
          <w:sz w:val="32"/>
          <w:szCs w:val="32"/>
        </w:rPr>
        <w:t>II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类</w:t>
      </w:r>
      <w:r>
        <w:rPr>
          <w:rFonts w:ascii="仿宋_GB2312" w:hAnsi="Times New Roman" w:eastAsia="仿宋_GB2312"/>
          <w:color w:val="auto"/>
          <w:sz w:val="32"/>
          <w:szCs w:val="32"/>
        </w:rPr>
        <w:t>数学荣誉课程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，且每一门课程考试成绩均达80分以上的，学校</w:t>
      </w:r>
      <w:r>
        <w:rPr>
          <w:rFonts w:ascii="仿宋_GB2312" w:hAnsi="Times New Roman" w:eastAsia="仿宋_GB2312"/>
          <w:color w:val="auto"/>
          <w:sz w:val="32"/>
          <w:szCs w:val="32"/>
        </w:rPr>
        <w:t>颁发数学荣誉课程证书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（证书中载明所修全部课程），所在学院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可参照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校级一等奖（荣誉称号）作为评奖评优推免加分项目（该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项仅针对以上其中一种情况进行单次奖励，不累计）。</w:t>
      </w:r>
    </w:p>
    <w:p w14:paraId="4C62258B">
      <w:pPr>
        <w:spacing w:line="360" w:lineRule="auto"/>
        <w:ind w:firstLine="640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I类数学荣誉课程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II类数学荣誉课程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val="en-US" w:eastAsia="zh-CN"/>
        </w:rPr>
        <w:t>均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由数学学院认定。</w:t>
      </w:r>
    </w:p>
    <w:p w14:paraId="21282BAF">
      <w:pPr>
        <w:spacing w:line="360" w:lineRule="auto"/>
        <w:ind w:firstLine="640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对取得数学荣誉课程证书的学生，优先推荐参加学校、学院层面的境外交流项目的选拔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，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优先推荐参加学校、学院层面的境内外实习。</w:t>
      </w:r>
    </w:p>
    <w:p w14:paraId="546175F5">
      <w:pPr>
        <w:spacing w:line="360" w:lineRule="auto"/>
        <w:ind w:firstLine="643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/>
          <w:b/>
          <w:color w:val="auto"/>
          <w:sz w:val="32"/>
          <w:szCs w:val="32"/>
          <w:highlight w:val="none"/>
        </w:rPr>
        <w:t>第七条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取得本专业学士学位的学生，满足如下条件者，学校颁发数学荣誉学士学位证书：</w:t>
      </w:r>
    </w:p>
    <w:p w14:paraId="60DDB0CA">
      <w:pPr>
        <w:spacing w:line="360" w:lineRule="auto"/>
        <w:ind w:firstLine="640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1.修读4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门以上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II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类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数学荣誉课程，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且每门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数学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荣誉课程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val="en-US" w:eastAsia="zh-CN"/>
        </w:rPr>
        <w:t>总评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成绩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达80分以上。</w:t>
      </w:r>
    </w:p>
    <w:p w14:paraId="4691B231">
      <w:pPr>
        <w:spacing w:line="360" w:lineRule="auto"/>
        <w:ind w:firstLine="640" w:firstLineChars="200"/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2.勤奋学习，刻苦钻研，已修学的必修课程无补考或重修记录，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eastAsia="zh-CN"/>
        </w:rPr>
        <w:t>学分加权平均分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在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eastAsia="zh-CN"/>
        </w:rPr>
        <w:t>80分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以上且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主修专业的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val="en-US" w:eastAsia="zh-CN"/>
        </w:rPr>
        <w:t>所有课程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val="en-US" w:eastAsia="zh-CN"/>
        </w:rPr>
        <w:t>加权平均分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在本专业排名前30%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。</w:t>
      </w:r>
    </w:p>
    <w:p w14:paraId="02D24997">
      <w:pPr>
        <w:spacing w:line="360" w:lineRule="auto"/>
        <w:ind w:firstLine="640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非涉外专业大学英语四级成绩在530分以上或六级成绩425分以上；涉外专业大学英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语六级成绩在530分以上；或所有专业雅思、托福、GMAT成绩达到满分的70％以上水平。</w:t>
      </w:r>
    </w:p>
    <w:p w14:paraId="0115A506">
      <w:pPr>
        <w:spacing w:line="360" w:lineRule="auto"/>
        <w:ind w:firstLine="640" w:firstLineChars="200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3</w:t>
      </w:r>
      <w:r>
        <w:rPr>
          <w:rFonts w:ascii="仿宋_GB2312" w:hAnsi="Times New Roman" w:eastAsia="仿宋_GB2312"/>
          <w:color w:val="auto"/>
          <w:sz w:val="32"/>
          <w:szCs w:val="32"/>
        </w:rPr>
        <w:t>.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诚实守信，学风端正，在校期间品学兼优，无考试作弊和剽窃他人学术成果记录，无违法违纪受纪律处分记录。</w:t>
      </w:r>
    </w:p>
    <w:p w14:paraId="02C2F11E">
      <w:pPr>
        <w:spacing w:line="360" w:lineRule="auto"/>
        <w:ind w:firstLine="640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4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学术研究兴趣浓厚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eastAsia="zh-CN"/>
        </w:rPr>
        <w:t>，具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有较强的创新意识、创新能力和专业能力。</w:t>
      </w:r>
    </w:p>
    <w:p w14:paraId="13B65E21">
      <w:pPr>
        <w:spacing w:line="360" w:lineRule="auto"/>
        <w:ind w:firstLine="643" w:firstLineChars="200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/>
          <w:b/>
          <w:color w:val="auto"/>
          <w:sz w:val="32"/>
          <w:szCs w:val="32"/>
          <w:highlight w:val="none"/>
        </w:rPr>
        <w:t xml:space="preserve">第八条  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本方案中的“以上”包含本数在内。</w:t>
      </w:r>
    </w:p>
    <w:p w14:paraId="34A18531">
      <w:pPr>
        <w:spacing w:line="360" w:lineRule="auto"/>
        <w:ind w:firstLine="643" w:firstLineChars="200"/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32"/>
          <w:szCs w:val="32"/>
          <w:highlight w:val="none"/>
        </w:rPr>
        <w:t>第九条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>本方案由教务处负责解释。</w:t>
      </w:r>
    </w:p>
    <w:p w14:paraId="7823EA7C">
      <w:pPr>
        <w:spacing w:line="360" w:lineRule="auto"/>
        <w:ind w:firstLine="643" w:firstLineChars="200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ascii="仿宋_GB2312" w:hAnsi="Times New Roman" w:eastAsia="仿宋_GB2312"/>
          <w:b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Times New Roman" w:eastAsia="仿宋_GB2312"/>
          <w:b/>
          <w:color w:val="auto"/>
          <w:sz w:val="32"/>
          <w:szCs w:val="32"/>
          <w:highlight w:val="none"/>
        </w:rPr>
        <w:t>十</w:t>
      </w:r>
      <w:r>
        <w:rPr>
          <w:rFonts w:ascii="仿宋_GB2312" w:hAnsi="Times New Roman" w:eastAsia="仿宋_GB2312"/>
          <w:b/>
          <w:color w:val="auto"/>
          <w:sz w:val="32"/>
          <w:szCs w:val="32"/>
          <w:highlight w:val="none"/>
        </w:rPr>
        <w:t>条</w:t>
      </w:r>
      <w:r>
        <w:rPr>
          <w:rFonts w:ascii="仿宋_GB2312" w:hAnsi="Times New Roman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本方案适用对象为20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级及之后全校全日制本科学生。</w:t>
      </w:r>
    </w:p>
    <w:p w14:paraId="5F754094">
      <w:pPr>
        <w:spacing w:line="360" w:lineRule="auto"/>
        <w:rPr>
          <w:rFonts w:ascii="仿宋_GB2312" w:hAnsi="Times New Roman" w:eastAsia="仿宋_GB2312"/>
          <w:color w:val="auto"/>
          <w:sz w:val="32"/>
          <w:szCs w:val="32"/>
          <w:highlight w:val="none"/>
        </w:rPr>
      </w:pPr>
    </w:p>
    <w:p w14:paraId="4E957773">
      <w:pPr>
        <w:spacing w:line="360" w:lineRule="auto"/>
        <w:rPr>
          <w:rFonts w:ascii="仿宋_GB2312" w:hAnsi="Times New Roman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/>
          <w:b/>
          <w:color w:val="auto"/>
          <w:sz w:val="28"/>
          <w:szCs w:val="32"/>
          <w:highlight w:val="none"/>
        </w:rPr>
        <w:t>附：</w:t>
      </w:r>
    </w:p>
    <w:p w14:paraId="7509969A">
      <w:pPr>
        <w:spacing w:line="360" w:lineRule="auto"/>
        <w:ind w:firstLine="482" w:firstLineChars="200"/>
        <w:rPr>
          <w:rFonts w:hint="default" w:ascii="仿宋_GB2312" w:hAnsi="Times New Roman" w:eastAsia="仿宋_GB2312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ascii="仿宋_GB2312" w:hAnsi="Times New Roman" w:eastAsia="仿宋_GB2312"/>
          <w:b/>
          <w:bCs/>
          <w:color w:val="auto"/>
          <w:sz w:val="24"/>
          <w:szCs w:val="24"/>
          <w:highlight w:val="none"/>
        </w:rPr>
        <w:t>1.</w:t>
      </w:r>
      <w:r>
        <w:rPr>
          <w:rFonts w:hint="eastAsia" w:ascii="仿宋_GB2312" w:hAnsi="Times New Roman" w:eastAsia="仿宋_GB2312"/>
          <w:b/>
          <w:bCs/>
          <w:color w:val="auto"/>
          <w:sz w:val="24"/>
          <w:szCs w:val="24"/>
          <w:highlight w:val="none"/>
          <w:lang w:val="en-US" w:eastAsia="zh-CN"/>
        </w:rPr>
        <w:t>I类数学荣誉课程</w:t>
      </w:r>
    </w:p>
    <w:p w14:paraId="7383B6DE">
      <w:pPr>
        <w:spacing w:line="360" w:lineRule="auto"/>
        <w:ind w:firstLine="480" w:firstLineChars="200"/>
        <w:rPr>
          <w:rFonts w:ascii="仿宋_GB2312" w:hAnsi="Times New Roman" w:eastAsia="仿宋_GB2312"/>
          <w:color w:val="auto"/>
          <w:sz w:val="24"/>
          <w:szCs w:val="24"/>
          <w:highlight w:val="none"/>
        </w:rPr>
      </w:pPr>
      <w:r>
        <w:rPr>
          <w:rFonts w:ascii="仿宋_GB2312" w:hAnsi="Times New Roman" w:eastAsia="仿宋_GB2312"/>
          <w:color w:val="auto"/>
          <w:sz w:val="24"/>
          <w:szCs w:val="24"/>
          <w:highlight w:val="none"/>
        </w:rPr>
        <w:t>难度高于本专业人才培养方案要求的</w:t>
      </w:r>
      <w:r>
        <w:rPr>
          <w:rFonts w:hint="eastAsia" w:ascii="仿宋_GB2312" w:hAnsi="Times New Roman" w:eastAsia="仿宋_GB2312"/>
          <w:color w:val="auto"/>
          <w:sz w:val="24"/>
          <w:szCs w:val="24"/>
          <w:highlight w:val="none"/>
        </w:rPr>
        <w:t>部分I类数学荣誉课程：</w:t>
      </w:r>
      <w:r>
        <w:rPr>
          <w:rFonts w:hint="eastAsia" w:ascii="仿宋_GB2312" w:hAnsi="Times New Roman" w:eastAsia="仿宋_GB2312"/>
          <w:color w:val="auto"/>
          <w:sz w:val="24"/>
          <w:szCs w:val="24"/>
        </w:rPr>
        <w:t>数学分析Ⅰ</w:t>
      </w:r>
      <w:r>
        <w:rPr>
          <w:rFonts w:hint="eastAsia" w:ascii="仿宋_GB2312" w:hAnsi="Times New Roman" w:eastAsia="仿宋_GB2312"/>
          <w:color w:val="auto"/>
          <w:sz w:val="24"/>
          <w:szCs w:val="24"/>
          <w:lang w:val="en-US" w:eastAsia="zh-CN"/>
        </w:rPr>
        <w:t>/</w:t>
      </w:r>
      <w:r>
        <w:rPr>
          <w:rFonts w:hint="eastAsia" w:ascii="仿宋_GB2312" w:hAnsi="Times New Roman" w:eastAsia="仿宋_GB2312"/>
          <w:color w:val="auto"/>
          <w:sz w:val="24"/>
          <w:szCs w:val="24"/>
          <w:highlight w:val="none"/>
        </w:rPr>
        <w:t>数学分析Ⅰ（理科）</w:t>
      </w:r>
      <w:r>
        <w:rPr>
          <w:rFonts w:hint="eastAsia" w:ascii="仿宋_GB2312" w:hAnsi="Times New Roman" w:eastAsia="仿宋_GB2312"/>
          <w:color w:val="auto"/>
          <w:sz w:val="24"/>
          <w:szCs w:val="24"/>
        </w:rPr>
        <w:t>、数学分析Ⅱ</w:t>
      </w:r>
      <w:r>
        <w:rPr>
          <w:rFonts w:hint="eastAsia" w:ascii="仿宋_GB2312" w:hAnsi="Times New Roman" w:eastAsia="仿宋_GB2312"/>
          <w:color w:val="auto"/>
          <w:sz w:val="24"/>
          <w:szCs w:val="24"/>
          <w:lang w:val="en-US" w:eastAsia="zh-CN"/>
        </w:rPr>
        <w:t>/</w:t>
      </w:r>
      <w:r>
        <w:rPr>
          <w:rFonts w:hint="eastAsia" w:ascii="仿宋_GB2312" w:hAnsi="Times New Roman" w:eastAsia="仿宋_GB2312"/>
          <w:color w:val="auto"/>
          <w:sz w:val="24"/>
          <w:szCs w:val="24"/>
          <w:highlight w:val="none"/>
        </w:rPr>
        <w:t>数学分析Ⅱ（理科）</w:t>
      </w:r>
      <w:r>
        <w:rPr>
          <w:rFonts w:hint="eastAsia" w:ascii="仿宋_GB2312" w:hAnsi="Times New Roman" w:eastAsia="仿宋_GB2312"/>
          <w:color w:val="auto"/>
          <w:sz w:val="24"/>
          <w:szCs w:val="24"/>
        </w:rPr>
        <w:t>、</w:t>
      </w:r>
      <w:r>
        <w:rPr>
          <w:rFonts w:hint="eastAsia" w:ascii="仿宋_GB2312" w:hAnsi="Times New Roman" w:eastAsia="仿宋_GB2312"/>
          <w:color w:val="auto"/>
          <w:sz w:val="24"/>
          <w:szCs w:val="24"/>
          <w:highlight w:val="none"/>
        </w:rPr>
        <w:t>数学分析Ⅲ（理科）、高等代数I</w:t>
      </w:r>
      <w:r>
        <w:rPr>
          <w:rFonts w:hint="eastAsia" w:ascii="仿宋_GB2312" w:hAnsi="Times New Roman" w:eastAsia="仿宋_GB2312"/>
          <w:color w:val="auto"/>
          <w:sz w:val="24"/>
          <w:szCs w:val="24"/>
          <w:highlight w:val="none"/>
          <w:lang w:val="en-US" w:eastAsia="zh-CN"/>
        </w:rPr>
        <w:t>/</w:t>
      </w:r>
      <w:r>
        <w:rPr>
          <w:rFonts w:hint="eastAsia" w:ascii="仿宋_GB2312" w:hAnsi="Times New Roman" w:eastAsia="仿宋_GB2312"/>
          <w:color w:val="auto"/>
          <w:sz w:val="24"/>
          <w:szCs w:val="24"/>
          <w:highlight w:val="none"/>
        </w:rPr>
        <w:t>高等代数Ⅰ（理科）、高等代数Ⅱ</w:t>
      </w:r>
      <w:r>
        <w:rPr>
          <w:rFonts w:hint="eastAsia" w:ascii="仿宋_GB2312" w:hAnsi="Times New Roman" w:eastAsia="仿宋_GB2312"/>
          <w:color w:val="auto"/>
          <w:sz w:val="24"/>
          <w:szCs w:val="24"/>
          <w:highlight w:val="none"/>
          <w:lang w:val="en-US" w:eastAsia="zh-CN"/>
        </w:rPr>
        <w:t>/</w:t>
      </w:r>
      <w:r>
        <w:rPr>
          <w:rFonts w:hint="eastAsia" w:ascii="仿宋_GB2312" w:hAnsi="Times New Roman" w:eastAsia="仿宋_GB2312"/>
          <w:color w:val="auto"/>
          <w:sz w:val="24"/>
          <w:szCs w:val="24"/>
          <w:highlight w:val="none"/>
        </w:rPr>
        <w:t>高等代数Ⅱ（理科）和概率论与数理统计A。</w:t>
      </w:r>
    </w:p>
    <w:p w14:paraId="1EFD82E1">
      <w:pPr>
        <w:widowControl/>
        <w:spacing w:line="360" w:lineRule="auto"/>
        <w:ind w:firstLine="482" w:firstLineChars="200"/>
        <w:rPr>
          <w:rFonts w:ascii="仿宋_GB2312" w:hAnsi="Times New Roman" w:eastAsia="仿宋_GB2312"/>
          <w:b/>
          <w:bCs/>
          <w:color w:val="auto"/>
          <w:sz w:val="24"/>
          <w:szCs w:val="24"/>
          <w:highlight w:val="none"/>
        </w:rPr>
      </w:pPr>
      <w:r>
        <w:rPr>
          <w:rFonts w:ascii="仿宋_GB2312" w:hAnsi="Times New Roman" w:eastAsia="仿宋_GB2312"/>
          <w:b/>
          <w:bCs/>
          <w:color w:val="auto"/>
          <w:sz w:val="24"/>
          <w:szCs w:val="24"/>
          <w:highlight w:val="none"/>
        </w:rPr>
        <w:t>2.</w:t>
      </w:r>
      <w:r>
        <w:rPr>
          <w:rFonts w:hint="eastAsia" w:ascii="仿宋_GB2312" w:hAnsi="Times New Roman" w:eastAsia="仿宋_GB2312"/>
          <w:b/>
          <w:bCs/>
          <w:color w:val="auto"/>
          <w:sz w:val="24"/>
          <w:szCs w:val="24"/>
          <w:highlight w:val="none"/>
        </w:rPr>
        <w:t xml:space="preserve"> Ⅱ类数学荣誉课程</w:t>
      </w:r>
    </w:p>
    <w:tbl>
      <w:tblPr>
        <w:tblStyle w:val="4"/>
        <w:tblW w:w="91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432"/>
        <w:gridCol w:w="1742"/>
        <w:gridCol w:w="831"/>
        <w:gridCol w:w="4551"/>
      </w:tblGrid>
      <w:tr w14:paraId="6DC0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81" w:type="dxa"/>
            <w:vAlign w:val="center"/>
          </w:tcPr>
          <w:p w14:paraId="52980C81">
            <w:pPr>
              <w:widowControl/>
              <w:jc w:val="center"/>
              <w:rPr>
                <w:rFonts w:ascii="仿宋_GB2312" w:hAnsi="Times New Roman" w:eastAsia="仿宋_GB2312"/>
                <w:b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b/>
                <w:color w:val="auto"/>
                <w:szCs w:val="24"/>
                <w:highlight w:val="none"/>
              </w:rPr>
              <w:t>序号</w:t>
            </w:r>
          </w:p>
        </w:tc>
        <w:tc>
          <w:tcPr>
            <w:tcW w:w="1432" w:type="dxa"/>
            <w:vAlign w:val="center"/>
          </w:tcPr>
          <w:p w14:paraId="56B94BFF">
            <w:pPr>
              <w:widowControl/>
              <w:ind w:firstLine="173" w:firstLineChars="82"/>
              <w:jc w:val="center"/>
              <w:rPr>
                <w:rFonts w:hint="default" w:ascii="仿宋_GB2312" w:hAnsi="Times New Roman" w:eastAsia="仿宋_GB2312"/>
                <w:b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szCs w:val="24"/>
                <w:highlight w:val="none"/>
                <w:lang w:val="en-US" w:eastAsia="zh-CN"/>
              </w:rPr>
              <w:t>课程代码</w:t>
            </w:r>
          </w:p>
        </w:tc>
        <w:tc>
          <w:tcPr>
            <w:tcW w:w="1742" w:type="dxa"/>
            <w:vAlign w:val="center"/>
          </w:tcPr>
          <w:p w14:paraId="3F84E560">
            <w:pPr>
              <w:widowControl/>
              <w:ind w:firstLine="173" w:firstLineChars="82"/>
              <w:jc w:val="center"/>
              <w:rPr>
                <w:rFonts w:ascii="仿宋_GB2312" w:hAnsi="Times New Roman" w:eastAsia="仿宋_GB2312"/>
                <w:b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b/>
                <w:color w:val="auto"/>
                <w:szCs w:val="24"/>
                <w:highlight w:val="none"/>
              </w:rPr>
              <w:t>课程名称</w:t>
            </w:r>
          </w:p>
        </w:tc>
        <w:tc>
          <w:tcPr>
            <w:tcW w:w="831" w:type="dxa"/>
            <w:vAlign w:val="center"/>
          </w:tcPr>
          <w:p w14:paraId="7519C5D4">
            <w:pPr>
              <w:widowControl/>
              <w:jc w:val="center"/>
              <w:rPr>
                <w:rFonts w:ascii="仿宋_GB2312" w:hAnsi="Times New Roman" w:eastAsia="仿宋_GB2312"/>
                <w:b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b/>
                <w:color w:val="auto"/>
                <w:szCs w:val="24"/>
                <w:highlight w:val="none"/>
              </w:rPr>
              <w:t>学分</w:t>
            </w:r>
          </w:p>
        </w:tc>
        <w:tc>
          <w:tcPr>
            <w:tcW w:w="4551" w:type="dxa"/>
            <w:vAlign w:val="center"/>
          </w:tcPr>
          <w:p w14:paraId="263105DD">
            <w:pPr>
              <w:widowControl/>
              <w:jc w:val="center"/>
              <w:rPr>
                <w:rFonts w:ascii="仿宋_GB2312" w:hAnsi="Times New Roman" w:eastAsia="仿宋_GB2312"/>
                <w:b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b/>
                <w:color w:val="auto"/>
                <w:szCs w:val="24"/>
                <w:highlight w:val="none"/>
              </w:rPr>
              <w:t>先修课程</w:t>
            </w:r>
          </w:p>
        </w:tc>
      </w:tr>
      <w:tr w14:paraId="3780A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81" w:type="dxa"/>
            <w:vAlign w:val="center"/>
          </w:tcPr>
          <w:p w14:paraId="1C6D3415">
            <w:pPr>
              <w:widowControl/>
              <w:ind w:firstLine="174" w:firstLineChars="83"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1</w:t>
            </w:r>
          </w:p>
        </w:tc>
        <w:tc>
          <w:tcPr>
            <w:tcW w:w="1432" w:type="dxa"/>
            <w:vAlign w:val="center"/>
          </w:tcPr>
          <w:p w14:paraId="4696C897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LMT201</w:t>
            </w:r>
          </w:p>
        </w:tc>
        <w:tc>
          <w:tcPr>
            <w:tcW w:w="1742" w:type="dxa"/>
            <w:vAlign w:val="center"/>
          </w:tcPr>
          <w:p w14:paraId="134F97CB">
            <w:pPr>
              <w:widowControl/>
              <w:jc w:val="both"/>
              <w:rPr>
                <w:rFonts w:hint="default" w:ascii="仿宋_GB2312" w:hAnsi="Times New Roman" w:eastAsia="仿宋_GB2312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优化理论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  <w:lang w:val="en-US" w:eastAsia="zh-CN"/>
              </w:rPr>
              <w:t>与应用</w:t>
            </w:r>
          </w:p>
        </w:tc>
        <w:tc>
          <w:tcPr>
            <w:tcW w:w="831" w:type="dxa"/>
            <w:vAlign w:val="center"/>
          </w:tcPr>
          <w:p w14:paraId="315CC2FB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3</w:t>
            </w:r>
          </w:p>
        </w:tc>
        <w:tc>
          <w:tcPr>
            <w:tcW w:w="4551" w:type="dxa"/>
            <w:vAlign w:val="center"/>
          </w:tcPr>
          <w:p w14:paraId="0C9F90AD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建议必修：数学分析（高等数学）、高等代数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（线性代数）</w:t>
            </w: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、概率论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与数理统计</w:t>
            </w:r>
          </w:p>
        </w:tc>
      </w:tr>
      <w:tr w14:paraId="3C25A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1" w:type="dxa"/>
            <w:vAlign w:val="center"/>
          </w:tcPr>
          <w:p w14:paraId="7495BCC9">
            <w:pPr>
              <w:widowControl/>
              <w:ind w:firstLine="174" w:firstLineChars="83"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2</w:t>
            </w:r>
          </w:p>
        </w:tc>
        <w:tc>
          <w:tcPr>
            <w:tcW w:w="1432" w:type="dxa"/>
            <w:vAlign w:val="center"/>
          </w:tcPr>
          <w:p w14:paraId="75615D0C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STA305</w:t>
            </w:r>
          </w:p>
        </w:tc>
        <w:tc>
          <w:tcPr>
            <w:tcW w:w="1742" w:type="dxa"/>
            <w:vAlign w:val="center"/>
          </w:tcPr>
          <w:p w14:paraId="624E2197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随机过程</w:t>
            </w:r>
          </w:p>
        </w:tc>
        <w:tc>
          <w:tcPr>
            <w:tcW w:w="831" w:type="dxa"/>
            <w:vAlign w:val="center"/>
          </w:tcPr>
          <w:p w14:paraId="5764500B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3</w:t>
            </w:r>
          </w:p>
        </w:tc>
        <w:tc>
          <w:tcPr>
            <w:tcW w:w="4551" w:type="dxa"/>
            <w:vAlign w:val="center"/>
          </w:tcPr>
          <w:p w14:paraId="2C756E3B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建议必修：数学分析（高等数学）、概率论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与数理统计</w:t>
            </w:r>
          </w:p>
        </w:tc>
      </w:tr>
      <w:tr w14:paraId="65FB6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581" w:type="dxa"/>
            <w:vAlign w:val="center"/>
          </w:tcPr>
          <w:p w14:paraId="372630E3">
            <w:pPr>
              <w:widowControl/>
              <w:ind w:firstLine="174" w:firstLineChars="83"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3</w:t>
            </w:r>
          </w:p>
        </w:tc>
        <w:tc>
          <w:tcPr>
            <w:tcW w:w="1432" w:type="dxa"/>
            <w:vAlign w:val="center"/>
          </w:tcPr>
          <w:p w14:paraId="53A23181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MAT510</w:t>
            </w:r>
          </w:p>
        </w:tc>
        <w:tc>
          <w:tcPr>
            <w:tcW w:w="1742" w:type="dxa"/>
            <w:vAlign w:val="center"/>
          </w:tcPr>
          <w:p w14:paraId="6316B754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偏微分方程</w:t>
            </w:r>
          </w:p>
        </w:tc>
        <w:tc>
          <w:tcPr>
            <w:tcW w:w="831" w:type="dxa"/>
            <w:vAlign w:val="center"/>
          </w:tcPr>
          <w:p w14:paraId="143CEB48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3</w:t>
            </w:r>
          </w:p>
        </w:tc>
        <w:tc>
          <w:tcPr>
            <w:tcW w:w="4551" w:type="dxa"/>
            <w:vAlign w:val="center"/>
          </w:tcPr>
          <w:p w14:paraId="5E3C7626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建议必修：数学分析（高等数学）、高等代数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（线性代数）</w:t>
            </w: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；</w:t>
            </w:r>
          </w:p>
          <w:p w14:paraId="519D1683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建议选修：常微分方程</w:t>
            </w:r>
          </w:p>
        </w:tc>
      </w:tr>
      <w:tr w14:paraId="6EBF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81" w:type="dxa"/>
            <w:vAlign w:val="center"/>
          </w:tcPr>
          <w:p w14:paraId="184836E3">
            <w:pPr>
              <w:widowControl/>
              <w:ind w:firstLine="174" w:firstLineChars="83"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4</w:t>
            </w:r>
          </w:p>
        </w:tc>
        <w:tc>
          <w:tcPr>
            <w:tcW w:w="1432" w:type="dxa"/>
            <w:vAlign w:val="center"/>
          </w:tcPr>
          <w:p w14:paraId="68AD96B9">
            <w:pPr>
              <w:widowControl/>
              <w:jc w:val="both"/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MAT512</w:t>
            </w:r>
          </w:p>
        </w:tc>
        <w:tc>
          <w:tcPr>
            <w:tcW w:w="1742" w:type="dxa"/>
            <w:vAlign w:val="center"/>
          </w:tcPr>
          <w:p w14:paraId="52B798DE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实变函数论</w:t>
            </w:r>
          </w:p>
        </w:tc>
        <w:tc>
          <w:tcPr>
            <w:tcW w:w="831" w:type="dxa"/>
            <w:vAlign w:val="center"/>
          </w:tcPr>
          <w:p w14:paraId="31CD7E6F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3</w:t>
            </w:r>
          </w:p>
        </w:tc>
        <w:tc>
          <w:tcPr>
            <w:tcW w:w="4551" w:type="dxa"/>
            <w:vAlign w:val="center"/>
          </w:tcPr>
          <w:p w14:paraId="536F807E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建议必修：数学分析（高等数学）、高等代数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（线性代数）</w:t>
            </w:r>
          </w:p>
        </w:tc>
      </w:tr>
      <w:tr w14:paraId="040C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581" w:type="dxa"/>
            <w:vAlign w:val="center"/>
          </w:tcPr>
          <w:p w14:paraId="433F31C3">
            <w:pPr>
              <w:widowControl/>
              <w:ind w:firstLine="174" w:firstLineChars="83"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5</w:t>
            </w:r>
          </w:p>
        </w:tc>
        <w:tc>
          <w:tcPr>
            <w:tcW w:w="1432" w:type="dxa"/>
            <w:vAlign w:val="center"/>
          </w:tcPr>
          <w:p w14:paraId="695D14A3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MAT518</w:t>
            </w:r>
          </w:p>
        </w:tc>
        <w:tc>
          <w:tcPr>
            <w:tcW w:w="1742" w:type="dxa"/>
            <w:vAlign w:val="center"/>
          </w:tcPr>
          <w:p w14:paraId="426056D3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数值分析</w:t>
            </w:r>
          </w:p>
        </w:tc>
        <w:tc>
          <w:tcPr>
            <w:tcW w:w="831" w:type="dxa"/>
            <w:vAlign w:val="center"/>
          </w:tcPr>
          <w:p w14:paraId="44E13D76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3</w:t>
            </w:r>
          </w:p>
        </w:tc>
        <w:tc>
          <w:tcPr>
            <w:tcW w:w="4551" w:type="dxa"/>
            <w:vAlign w:val="center"/>
          </w:tcPr>
          <w:p w14:paraId="31B5A7EC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建议必修：数学分析（高等数学）、高等代数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（线性代数）</w:t>
            </w: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；</w:t>
            </w:r>
          </w:p>
          <w:p w14:paraId="41A700DA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建议选修：常微分方程</w:t>
            </w:r>
          </w:p>
        </w:tc>
      </w:tr>
      <w:tr w14:paraId="5E28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581" w:type="dxa"/>
            <w:vAlign w:val="center"/>
          </w:tcPr>
          <w:p w14:paraId="45B74E9D">
            <w:pPr>
              <w:widowControl/>
              <w:tabs>
                <w:tab w:val="left" w:pos="6300"/>
              </w:tabs>
              <w:ind w:firstLine="174" w:firstLineChars="83"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6</w:t>
            </w:r>
          </w:p>
        </w:tc>
        <w:tc>
          <w:tcPr>
            <w:tcW w:w="1432" w:type="dxa"/>
            <w:vAlign w:val="center"/>
          </w:tcPr>
          <w:p w14:paraId="031BAD16">
            <w:pPr>
              <w:widowControl/>
              <w:jc w:val="both"/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FEG521</w:t>
            </w:r>
          </w:p>
        </w:tc>
        <w:tc>
          <w:tcPr>
            <w:tcW w:w="1742" w:type="dxa"/>
            <w:vAlign w:val="center"/>
          </w:tcPr>
          <w:p w14:paraId="79918306">
            <w:pPr>
              <w:widowControl/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金融随机分析</w:t>
            </w:r>
          </w:p>
        </w:tc>
        <w:tc>
          <w:tcPr>
            <w:tcW w:w="831" w:type="dxa"/>
            <w:vAlign w:val="center"/>
          </w:tcPr>
          <w:p w14:paraId="0441FDF7">
            <w:pPr>
              <w:widowControl/>
              <w:tabs>
                <w:tab w:val="left" w:pos="6300"/>
              </w:tabs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3</w:t>
            </w:r>
          </w:p>
        </w:tc>
        <w:tc>
          <w:tcPr>
            <w:tcW w:w="4551" w:type="dxa"/>
            <w:vAlign w:val="center"/>
          </w:tcPr>
          <w:p w14:paraId="685E22F6">
            <w:pPr>
              <w:widowControl/>
              <w:tabs>
                <w:tab w:val="left" w:pos="6300"/>
              </w:tabs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建议必修：数学分析（高等数学）、高等代数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</w:rPr>
              <w:t>（线性代数）、概率论与数理统计；</w:t>
            </w:r>
          </w:p>
          <w:p w14:paraId="2ED4C42E">
            <w:pPr>
              <w:widowControl/>
              <w:tabs>
                <w:tab w:val="left" w:pos="6300"/>
              </w:tabs>
              <w:jc w:val="both"/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</w:pPr>
            <w:r>
              <w:rPr>
                <w:rFonts w:ascii="仿宋_GB2312" w:hAnsi="Times New Roman" w:eastAsia="仿宋_GB2312"/>
                <w:color w:val="auto"/>
                <w:szCs w:val="24"/>
                <w:highlight w:val="none"/>
              </w:rPr>
              <w:t>建议必修：实变函数</w:t>
            </w:r>
            <w:r>
              <w:rPr>
                <w:rFonts w:hint="eastAsia" w:ascii="仿宋_GB2312" w:hAnsi="Times New Roman" w:eastAsia="仿宋_GB2312"/>
                <w:color w:val="auto"/>
                <w:szCs w:val="24"/>
                <w:highlight w:val="none"/>
                <w:lang w:eastAsia="zh-CN"/>
              </w:rPr>
              <w:t>论</w:t>
            </w:r>
          </w:p>
        </w:tc>
      </w:tr>
    </w:tbl>
    <w:p w14:paraId="69A43E4F">
      <w:pPr>
        <w:spacing w:line="360" w:lineRule="auto"/>
        <w:ind w:firstLine="480" w:firstLineChars="200"/>
        <w:rPr>
          <w:rFonts w:hint="eastAsia" w:ascii="仿宋_GB2312" w:hAnsi="Times New Roman" w:eastAsia="仿宋_GB2312"/>
          <w:color w:val="auto"/>
          <w:sz w:val="24"/>
          <w:szCs w:val="24"/>
          <w:highlight w:val="none"/>
          <w:lang w:eastAsia="zh-CN"/>
        </w:rPr>
      </w:pPr>
    </w:p>
    <w:sectPr>
      <w:pgSz w:w="11906" w:h="16838"/>
      <w:pgMar w:top="1134" w:right="1701" w:bottom="56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2ODMyY2VlZmYzNDRjZmI3YzJjMmI2ZWEyNTMyMWMifQ=="/>
  </w:docVars>
  <w:rsids>
    <w:rsidRoot w:val="00000000"/>
    <w:rsid w:val="05744ECB"/>
    <w:rsid w:val="0FEB2F9B"/>
    <w:rsid w:val="130807B9"/>
    <w:rsid w:val="15187F8D"/>
    <w:rsid w:val="240D662D"/>
    <w:rsid w:val="28B9673F"/>
    <w:rsid w:val="3F0B5766"/>
    <w:rsid w:val="46FC6684"/>
    <w:rsid w:val="49E46223"/>
    <w:rsid w:val="5CC02543"/>
    <w:rsid w:val="62E71450"/>
    <w:rsid w:val="67E42F6E"/>
    <w:rsid w:val="71F44139"/>
    <w:rsid w:val="785F20E7"/>
    <w:rsid w:val="791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cba99bbe-8a71-4fe0-bf8a-e837ee9dc072</errorID>
      <errorWord>深彻</errorWord>
      <group>L1_AI</group>
      <groupName>深度校对</groupName>
      <ability>L2_AI_Word</ability>
      <abilityName>字词纠错</abilityName>
      <candidateList>
        <item>深入</item>
      </candidateList>
      <explain/>
      <paraID>6831FB20</paraID>
      <start>48</start>
      <end>50</end>
      <status>modified</status>
      <modifiedWord>深入</modifiedWord>
      <trackRevisions>false</trackRevisions>
    </reviewItem>
    <reviewItem>
      <errorID>cb3e9d82-8840-413c-974d-4a185699cd15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/>
      <paraID>2BB76741</paraID>
      <start>93</start>
      <end>96</end>
      <status>unmodified</status>
      <modifiedWord/>
      <trackRevisions>false</trackRevisions>
    </reviewItem>
    <reviewItem>
      <errorID>4a362c85-df39-44e8-9c53-8ce75bede878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/>
      <paraID>423D03F1</paraID>
      <start>94</start>
      <end>97</end>
      <status>unmodified</status>
      <modifiedWord/>
      <trackRevisions>false</trackRevisions>
    </reviewItem>
    <reviewItem>
      <errorID>375333b9-5c51-4769-8878-b63a70c2c495</errorID>
      <errorWord>不</errorWord>
      <group>L1_AI</group>
      <groupName>深度校对</groupName>
      <ability>L2_AI_Word</ability>
      <abilityName>字词纠错</abilityName>
      <candidateList>
        <item>但不</item>
      </candidateList>
      <explain/>
      <paraID> B01D52E</paraID>
      <start>18</start>
      <end>19</end>
      <status>unmodified</status>
      <modifiedWord/>
      <trackRevisions>false</trackRevisions>
    </reviewItem>
    <reviewItem>
      <errorID>7085a1bf-d298-4c86-b4ac-39da42dbd017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/>
      <paraID>6116E5D1</paraID>
      <start>26</start>
      <end>29</end>
      <status>unmodified</status>
      <modifiedWord/>
      <trackRevisions>false</trackRevisions>
    </reviewItem>
    <reviewItem>
      <errorID>3f20d09d-dad2-412f-ac8d-0c1cf2cdb2a2</errorID>
      <errorWord>推免</errorWord>
      <group>L1_Word</group>
      <groupName>字词问题</groupName>
      <ability>L2_Typo</ability>
      <abilityName>字词错误</abilityName>
      <candidateList>
        <item>推荐</item>
      </candidateList>
      <explain/>
      <paraID>6116E5D1</paraID>
      <start>105</start>
      <end>107</end>
      <status>unmodified</status>
      <modifiedWord/>
      <trackRevisions>false</trackRevisions>
    </reviewItem>
    <reviewItem>
      <errorID>e9800b15-ea3c-4c45-ab18-4f59dde288be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/>
      <paraID>4C62258B</paraID>
      <start>9</start>
      <end>12</end>
      <status>unmodified</status>
      <modifiedWord/>
      <trackRevisions>false</trackRevisions>
    </reviewItem>
    <reviewItem>
      <errorID>2866a97a-64af-402d-92e9-76a870c1ce92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/>
      <paraID>60DDB0CA</paraID>
      <start>8</start>
      <end>11</end>
      <status>unmodified</status>
      <modifiedWord/>
      <trackRevisions>false</trackRevisions>
    </reviewItem>
    <reviewItem>
      <errorID>de3e6e63-9163-427b-b06d-1fddf8b6d06a</errorID>
      <errorWord>。（删掉？）</errorWord>
      <group>L1_AI</group>
      <groupName>深度校对</groupName>
      <ability>L2_AI_Grammar</ability>
      <abilityName>语法纠错</abilityName>
      <candidateList>
        <item>。</item>
      </candidateList>
      <explain/>
      <paraID>4691B231</paraID>
      <start>123</start>
      <end>129</end>
      <status>unmodified</status>
      <modifiedWord/>
      <trackRevisions>false</trackRevisions>
    </reviewItem>
    <reviewItem>
      <errorID>16d1a4f3-04c6-402e-b790-e585e1a5e7e8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2C2F11E</paraID>
      <start>10</start>
      <end>12</end>
      <status>modified</status>
      <modifiedWord>，具</modifiedWord>
      <trackRevisions>false</trackRevisions>
    </reviewItem>
    <reviewItem>
      <errorID>cb3bdeb9-2262-4f22-8777-1adf5ab5031d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5BA5326A</paraID>
      <start>48</start>
      <end>49</end>
      <status>unmodified</status>
      <modifiedWord/>
      <trackRevisions>false</trackRevisions>
    </reviewItem>
    <reviewItem>
      <errorID>d11fe441-d8c9-44d8-9f5e-58919f593151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5BA5326A</paraID>
      <start>50</start>
      <end>51</end>
      <status>unmodified</status>
      <modifiedWord/>
      <trackRevisions>false</trackRevisions>
    </reviewItem>
    <reviewItem>
      <errorID>fb5b4f5c-667d-45f9-a80a-d9e5f2d2f952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5BA5326A</paraID>
      <start>64</start>
      <end>65</end>
      <status>unmodified</status>
      <modifiedWord/>
      <trackRevisions>false</trackRevisions>
    </reviewItem>
    <reviewItem>
      <errorID>7a947ab9-73d1-4789-ab26-6a201f397d3a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5BA5326A</paraID>
      <start>66</start>
      <end>67</end>
      <status>unmodified</status>
      <modifiedWord/>
      <trackRevisions>false</trackRevisions>
    </reviewItem>
    <reviewItem>
      <errorID>3e31930b-80be-4e47-bbb1-67cf5f23becc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7383B6DE</paraID>
      <start>49</start>
      <end>50</end>
      <status>unmodified</status>
      <modifiedWord/>
      <trackRevisions>false</trackRevisions>
    </reviewItem>
    <reviewItem>
      <errorID>2b80f3e5-f555-4c5a-975a-a5734ae913dd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7383B6DE</paraID>
      <start>52</start>
      <end>53</end>
      <status>unmodified</status>
      <modifiedWord/>
      <trackRevisions>false</trackRevisions>
    </reviewItem>
    <reviewItem>
      <errorID>91d48cca-50e4-4aea-8ba7-5e107132ef7b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7383B6DE</paraID>
      <start>66</start>
      <end>67</end>
      <status>unmodified</status>
      <modifiedWord/>
      <trackRevisions>false</trackRevisions>
    </reviewItem>
    <reviewItem>
      <errorID>bb463b9c-7cd4-4a34-8445-90f155f270f4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7383B6DE</paraID>
      <start>69</start>
      <end>70</end>
      <status>unmodified</status>
      <modifiedWord/>
      <trackRevisions>false</trackRevisions>
    </reviewItem>
    <reviewItem>
      <errorID>88d06f6f-ffe2-4022-ad26-52b3bf48dbb7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7383B6DE</paraID>
      <start>93</start>
      <end>94</end>
      <status>unmodified</status>
      <modifiedWord/>
      <trackRevisions>false</trackRevisions>
    </reviewItem>
    <reviewItem>
      <errorID>cec399ff-927e-432c-b9ac-f71272ad52b6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7383B6DE</paraID>
      <start>96</start>
      <end>97</end>
      <status>unmodified</status>
      <modifiedWord/>
      <trackRevisions>false</trackRevisions>
    </reviewItem>
    <reviewItem>
      <errorID>778dc8d1-ca8f-4893-be50-c4ca82595512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7383B6DE</paraID>
      <start>110</start>
      <end>111</end>
      <status>unmodified</status>
      <modifiedWord/>
      <trackRevisions>false</trackRevisions>
    </reviewItem>
    <reviewItem>
      <errorID>fa06a817-1fe3-4d41-94d3-ad92c189656d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7383B6DE</paraID>
      <start>113</start>
      <end>114</end>
      <status>unmodified</status>
      <modifiedWord/>
      <trackRevisions>false</trackRevisions>
    </reviewItem>
    <reviewItem>
      <errorID>a6c997fc-fab3-4e84-8fe0-c9004636c71e</errorID>
      <errorWord>修读</errorWord>
      <group>L1_AI</group>
      <groupName>深度校对</groupName>
      <ability>L2_AI_Grammar</ability>
      <abilityName>语法纠错</abilityName>
      <candidateList>
        <item>的学生修读</item>
      </candidateList>
      <explain/>
      <paraID>689AA420</paraID>
      <start>12</start>
      <end>17</end>
      <status>modified</status>
      <modifiedWord>的学生修读</modifiedWord>
      <trackRevisions>false</trackRevisions>
    </reviewItem>
    <reviewItem>
      <errorID>5d471be3-c619-4e44-aae9-495bfcf65d78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/>
      <paraID>689AA420</paraID>
      <start>19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4d131f0-44b7-4672-9c9a-a076b89e1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1502</Words>
  <Characters>1569</Characters>
  <Lines>12</Lines>
  <Paragraphs>3</Paragraphs>
  <TotalTime>219</TotalTime>
  <ScaleCrop>false</ScaleCrop>
  <LinksUpToDate>false</LinksUpToDate>
  <CharactersWithSpaces>1590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2024-08-28T18:23:00Z</dcterms:created>
  <dc:creator>lenovo</dc:creator>
  <cp:lastModifiedBy>许志</cp:lastModifiedBy>
  <dcterms:modified xsi:type="dcterms:W3CDTF">2026-08-31T08:48:33Z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3C921448ADF445CD947C6AEC1D0361A9_13</vt:lpwstr>
  </property>
  <property fmtid="{D5CDD505-2E9C-101B-9397-08002B2CF9AE}" pid="4" name="KSOTemplateDocerSaveRecord">
    <vt:lpwstr>eyJoZGlkIjoiMjczYmQ0ZDNmZThjZjdmMTY0NmFiNTc2ZTIzZDYxMzkiLCJ1c2VySWQiOiI3MTE0NjY3MDYifQ==</vt:lpwstr>
  </property>
</Properties>
</file>