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4924E">
      <w:pPr>
        <w:spacing w:line="360" w:lineRule="auto"/>
        <w:jc w:val="center"/>
        <w:rPr>
          <w:rFonts w:ascii="仿宋_GB2312" w:hAnsi="Times New Roman" w:eastAsia="仿宋_GB2312"/>
          <w:b/>
          <w:sz w:val="32"/>
          <w:szCs w:val="32"/>
        </w:rPr>
      </w:pPr>
      <w:r>
        <w:rPr>
          <w:rFonts w:ascii="仿宋_GB2312" w:hAnsi="Times New Roman" w:eastAsia="仿宋_GB2312"/>
          <w:b/>
          <w:sz w:val="32"/>
          <w:szCs w:val="32"/>
        </w:rPr>
        <w:t>西南财经大学数学荣誉课程和荣誉学士学位</w:t>
      </w:r>
      <w:r>
        <w:rPr>
          <w:rFonts w:hint="eastAsia" w:ascii="仿宋_GB2312" w:hAnsi="Times New Roman" w:eastAsia="仿宋_GB2312"/>
          <w:b/>
          <w:sz w:val="32"/>
          <w:szCs w:val="32"/>
        </w:rPr>
        <w:t>工作方案</w:t>
      </w:r>
      <w:r>
        <w:rPr>
          <w:rFonts w:hint="eastAsia" w:ascii="仿宋_GB2312" w:hAnsi="Times New Roman" w:eastAsia="仿宋_GB2312"/>
          <w:b/>
          <w:sz w:val="28"/>
          <w:szCs w:val="32"/>
        </w:rPr>
        <w:t>（试行）</w:t>
      </w:r>
    </w:p>
    <w:p w14:paraId="1B863FF2">
      <w:pPr>
        <w:spacing w:line="360" w:lineRule="auto"/>
        <w:jc w:val="center"/>
        <w:rPr>
          <w:rFonts w:ascii="仿宋_GB2312" w:hAnsi="Times New Roman" w:eastAsia="仿宋_GB2312"/>
          <w:sz w:val="24"/>
          <w:szCs w:val="32"/>
        </w:rPr>
      </w:pPr>
      <w:r>
        <w:rPr>
          <w:rFonts w:hint="eastAsia" w:ascii="仿宋_GB2312" w:hAnsi="Times New Roman" w:eastAsia="仿宋_GB2312"/>
          <w:sz w:val="24"/>
          <w:szCs w:val="32"/>
        </w:rPr>
        <w:t>（2016年9月制定</w:t>
      </w:r>
      <w:r>
        <w:rPr>
          <w:rFonts w:hint="eastAsia" w:ascii="仿宋_GB2312" w:hAnsi="Times New Roman" w:eastAsia="仿宋_GB2312"/>
          <w:sz w:val="24"/>
          <w:szCs w:val="32"/>
          <w:highlight w:val="none"/>
        </w:rPr>
        <w:t>，</w:t>
      </w:r>
      <w:r>
        <w:rPr>
          <w:rFonts w:hint="eastAsia" w:ascii="仿宋_GB2312" w:hAnsi="Times New Roman" w:eastAsia="仿宋_GB2312"/>
          <w:color w:val="000000" w:themeColor="text1"/>
          <w:sz w:val="24"/>
          <w:szCs w:val="32"/>
          <w:highlight w:val="none"/>
          <w14:textFill>
            <w14:solidFill>
              <w14:schemeClr w14:val="tx1"/>
            </w14:solidFill>
          </w14:textFill>
        </w:rPr>
        <w:t>2024年8月第4次修订</w:t>
      </w:r>
      <w:r>
        <w:rPr>
          <w:rFonts w:hint="eastAsia" w:ascii="仿宋_GB2312" w:hAnsi="Times New Roman" w:eastAsia="仿宋_GB2312"/>
          <w:sz w:val="24"/>
          <w:szCs w:val="32"/>
          <w:highlight w:val="none"/>
        </w:rPr>
        <w:t>）</w:t>
      </w:r>
    </w:p>
    <w:p w14:paraId="6FB79D37">
      <w:pPr>
        <w:spacing w:line="360" w:lineRule="auto"/>
        <w:ind w:firstLine="643" w:firstLineChars="200"/>
        <w:rPr>
          <w:rFonts w:ascii="仿宋_GB2312" w:hAnsi="Times New Roman" w:eastAsia="仿宋_GB2312"/>
          <w:sz w:val="32"/>
          <w:szCs w:val="32"/>
        </w:rPr>
      </w:pPr>
      <w:r>
        <w:rPr>
          <w:rFonts w:ascii="仿宋_GB2312" w:hAnsi="Times New Roman" w:eastAsia="仿宋_GB2312"/>
          <w:b/>
          <w:sz w:val="32"/>
          <w:szCs w:val="32"/>
        </w:rPr>
        <w:t xml:space="preserve">第一条 </w:t>
      </w:r>
      <w:r>
        <w:rPr>
          <w:rFonts w:ascii="仿宋_GB2312" w:hAnsi="Times New Roman" w:eastAsia="仿宋_GB2312"/>
          <w:sz w:val="32"/>
          <w:szCs w:val="32"/>
        </w:rPr>
        <w:t xml:space="preserve"> 为鼓励优秀本科生修读更具挑战性的课程，激发学生学习潜能，引导学生追求卓越，特制定本方案。</w:t>
      </w:r>
    </w:p>
    <w:p w14:paraId="3EEF22D9">
      <w:pPr>
        <w:spacing w:line="360" w:lineRule="auto"/>
        <w:ind w:firstLine="643" w:firstLineChars="200"/>
        <w:rPr>
          <w:rFonts w:ascii="仿宋_GB2312" w:hAnsi="Times New Roman" w:eastAsia="仿宋_GB2312"/>
          <w:sz w:val="32"/>
          <w:szCs w:val="32"/>
        </w:rPr>
      </w:pPr>
      <w:r>
        <w:rPr>
          <w:rFonts w:ascii="仿宋_GB2312" w:hAnsi="Times New Roman" w:eastAsia="仿宋_GB2312"/>
          <w:b/>
          <w:sz w:val="32"/>
          <w:szCs w:val="32"/>
        </w:rPr>
        <w:t xml:space="preserve">第二条 </w:t>
      </w:r>
      <w:r>
        <w:rPr>
          <w:rFonts w:ascii="仿宋_GB2312" w:hAnsi="Times New Roman" w:eastAsia="仿宋_GB2312"/>
          <w:sz w:val="32"/>
          <w:szCs w:val="32"/>
        </w:rPr>
        <w:t xml:space="preserve"> </w:t>
      </w:r>
      <w:r>
        <w:rPr>
          <w:rFonts w:hint="eastAsia" w:ascii="仿宋_GB2312" w:hAnsi="Times New Roman" w:eastAsia="仿宋_GB2312"/>
          <w:sz w:val="32"/>
          <w:szCs w:val="32"/>
        </w:rPr>
        <w:t>数学</w:t>
      </w:r>
      <w:r>
        <w:rPr>
          <w:rFonts w:ascii="仿宋_GB2312" w:hAnsi="Times New Roman" w:eastAsia="仿宋_GB2312"/>
          <w:sz w:val="32"/>
          <w:szCs w:val="32"/>
        </w:rPr>
        <w:t>荣誉学士学位面向全校非理学学士学位本科生设立，以一批高质量</w:t>
      </w:r>
      <w:r>
        <w:rPr>
          <w:rFonts w:hint="eastAsia" w:ascii="仿宋_GB2312" w:hAnsi="Times New Roman" w:eastAsia="仿宋_GB2312"/>
          <w:sz w:val="32"/>
          <w:szCs w:val="32"/>
        </w:rPr>
        <w:t>数学</w:t>
      </w:r>
      <w:r>
        <w:rPr>
          <w:rFonts w:ascii="仿宋_GB2312" w:hAnsi="Times New Roman" w:eastAsia="仿宋_GB2312"/>
          <w:sz w:val="32"/>
          <w:szCs w:val="32"/>
        </w:rPr>
        <w:t>荣誉课程为支撑。学生修满一定数量的数学荣誉课程并满足学校规定的其他条件，学校授予数学荣誉学士学位。</w:t>
      </w:r>
    </w:p>
    <w:p w14:paraId="6831FB20">
      <w:pPr>
        <w:spacing w:line="360" w:lineRule="auto"/>
        <w:ind w:firstLine="643" w:firstLineChars="200"/>
        <w:rPr>
          <w:rFonts w:ascii="仿宋_GB2312" w:hAnsi="Times New Roman" w:eastAsia="仿宋_GB2312"/>
          <w:sz w:val="32"/>
          <w:szCs w:val="32"/>
        </w:rPr>
      </w:pPr>
      <w:r>
        <w:rPr>
          <w:rFonts w:ascii="仿宋_GB2312" w:hAnsi="Times New Roman" w:eastAsia="仿宋_GB2312"/>
          <w:b/>
          <w:sz w:val="32"/>
          <w:szCs w:val="32"/>
        </w:rPr>
        <w:t xml:space="preserve">第三条 </w:t>
      </w:r>
      <w:r>
        <w:rPr>
          <w:rFonts w:ascii="仿宋_GB2312" w:hAnsi="Times New Roman" w:eastAsia="仿宋_GB2312"/>
          <w:sz w:val="32"/>
          <w:szCs w:val="32"/>
        </w:rPr>
        <w:t xml:space="preserve"> </w:t>
      </w:r>
      <w:r>
        <w:rPr>
          <w:rFonts w:hint="eastAsia" w:ascii="仿宋_GB2312" w:hAnsi="Times New Roman" w:eastAsia="仿宋_GB2312"/>
          <w:sz w:val="32"/>
          <w:szCs w:val="32"/>
        </w:rPr>
        <w:t>数学</w:t>
      </w:r>
      <w:r>
        <w:rPr>
          <w:rFonts w:ascii="仿宋_GB2312" w:hAnsi="Times New Roman" w:eastAsia="仿宋_GB2312"/>
          <w:sz w:val="32"/>
          <w:szCs w:val="32"/>
        </w:rPr>
        <w:t>荣誉课程内容应吸收最新科研和实践成果，注重前沿性和创新性，加大内容难度和理论深度，深彻转变教学范式。</w:t>
      </w:r>
    </w:p>
    <w:p w14:paraId="2BB76741">
      <w:pPr>
        <w:spacing w:line="360" w:lineRule="auto"/>
        <w:ind w:firstLine="643" w:firstLineChars="200"/>
        <w:rPr>
          <w:rFonts w:ascii="仿宋_GB2312" w:hAnsi="Times New Roman" w:eastAsia="仿宋_GB2312"/>
          <w:sz w:val="32"/>
          <w:szCs w:val="32"/>
          <w:highlight w:val="none"/>
        </w:rPr>
      </w:pPr>
      <w:r>
        <w:rPr>
          <w:rFonts w:ascii="仿宋_GB2312" w:hAnsi="Times New Roman" w:eastAsia="仿宋_GB2312"/>
          <w:b/>
          <w:sz w:val="32"/>
          <w:szCs w:val="32"/>
        </w:rPr>
        <w:t>第四条</w:t>
      </w:r>
      <w:r>
        <w:rPr>
          <w:rFonts w:ascii="仿宋_GB2312" w:hAnsi="Times New Roman" w:eastAsia="仿宋_GB2312"/>
          <w:sz w:val="32"/>
          <w:szCs w:val="32"/>
        </w:rPr>
        <w:t xml:space="preserve">  数学荣誉课程是指难度高于本专业人才培养方案要求的数学课程，包括学校在通识教育基础课中开设</w:t>
      </w:r>
      <w:r>
        <w:rPr>
          <w:rFonts w:hint="eastAsia" w:ascii="仿宋_GB2312" w:hAnsi="Times New Roman" w:eastAsia="仿宋_GB2312"/>
          <w:sz w:val="32"/>
          <w:szCs w:val="32"/>
        </w:rPr>
        <w:t>的</w:t>
      </w:r>
      <w:r>
        <w:rPr>
          <w:rFonts w:ascii="仿宋_GB2312" w:hAnsi="Times New Roman" w:eastAsia="仿宋_GB2312"/>
          <w:sz w:val="32"/>
          <w:szCs w:val="32"/>
        </w:rPr>
        <w:t>难度高于本专业人才培养方案要求的</w:t>
      </w:r>
      <w:r>
        <w:rPr>
          <w:rFonts w:hint="eastAsia" w:ascii="仿宋_GB2312" w:hAnsi="Times New Roman" w:eastAsia="仿宋_GB2312"/>
          <w:sz w:val="32"/>
          <w:szCs w:val="32"/>
        </w:rPr>
        <w:t>部分</w:t>
      </w:r>
      <w:r>
        <w:rPr>
          <w:rFonts w:ascii="仿宋_GB2312" w:hAnsi="Times New Roman" w:eastAsia="仿宋_GB2312"/>
          <w:sz w:val="32"/>
          <w:szCs w:val="32"/>
        </w:rPr>
        <w:t>数学课程（I类课程）和学校专门开设的数学荣誉课程（II</w:t>
      </w:r>
      <w:r>
        <w:rPr>
          <w:rFonts w:hint="eastAsia" w:ascii="仿宋_GB2312" w:hAnsi="Times New Roman" w:eastAsia="仿宋_GB2312"/>
          <w:sz w:val="32"/>
          <w:szCs w:val="32"/>
        </w:rPr>
        <w:t>类</w:t>
      </w:r>
      <w:r>
        <w:rPr>
          <w:rFonts w:ascii="仿宋_GB2312" w:hAnsi="Times New Roman" w:eastAsia="仿宋_GB2312"/>
          <w:sz w:val="32"/>
          <w:szCs w:val="32"/>
        </w:rPr>
        <w:t>课程</w:t>
      </w:r>
      <w:r>
        <w:rPr>
          <w:rFonts w:ascii="仿宋_GB2312" w:hAnsi="Times New Roman" w:eastAsia="仿宋_GB2312"/>
          <w:sz w:val="32"/>
          <w:szCs w:val="32"/>
          <w:highlight w:val="none"/>
        </w:rPr>
        <w:t>）两类。</w:t>
      </w:r>
    </w:p>
    <w:p w14:paraId="423D03F1">
      <w:pPr>
        <w:spacing w:line="360" w:lineRule="auto"/>
        <w:ind w:firstLine="643" w:firstLineChars="200"/>
        <w:rPr>
          <w:rFonts w:ascii="仿宋_GB2312" w:hAnsi="Times New Roman" w:eastAsia="仿宋_GB2312"/>
          <w:sz w:val="32"/>
          <w:szCs w:val="32"/>
          <w:highlight w:val="none"/>
        </w:rPr>
      </w:pPr>
      <w:r>
        <w:rPr>
          <w:rFonts w:hint="eastAsia" w:ascii="仿宋_GB2312" w:hAnsi="Times New Roman" w:eastAsia="仿宋_GB2312"/>
          <w:b/>
          <w:sz w:val="32"/>
          <w:szCs w:val="32"/>
          <w:highlight w:val="none"/>
        </w:rPr>
        <w:t xml:space="preserve">第五条  </w:t>
      </w:r>
      <w:r>
        <w:rPr>
          <w:rFonts w:ascii="仿宋_GB2312" w:hAnsi="Times New Roman" w:eastAsia="仿宋_GB2312"/>
          <w:sz w:val="32"/>
          <w:szCs w:val="32"/>
          <w:highlight w:val="none"/>
        </w:rPr>
        <w:t>I类</w:t>
      </w:r>
      <w:r>
        <w:rPr>
          <w:rFonts w:hint="eastAsia" w:ascii="仿宋_GB2312" w:hAnsi="Times New Roman" w:eastAsia="仿宋_GB2312"/>
          <w:sz w:val="32"/>
          <w:szCs w:val="32"/>
          <w:highlight w:val="none"/>
        </w:rPr>
        <w:t>数学</w:t>
      </w:r>
      <w:r>
        <w:rPr>
          <w:rFonts w:ascii="仿宋_GB2312" w:hAnsi="Times New Roman" w:eastAsia="仿宋_GB2312"/>
          <w:sz w:val="32"/>
          <w:szCs w:val="32"/>
          <w:highlight w:val="none"/>
        </w:rPr>
        <w:t>荣誉课程中同类型课程可作为本专业人才培养方案所要求的数学必修课程，也可作为</w:t>
      </w:r>
      <w:r>
        <w:rPr>
          <w:rFonts w:hint="eastAsia" w:ascii="仿宋_GB2312" w:hAnsi="Times New Roman" w:eastAsia="仿宋_GB2312"/>
          <w:color w:val="000000" w:themeColor="text1"/>
          <w:sz w:val="32"/>
          <w:szCs w:val="32"/>
          <w:highlight w:val="none"/>
          <w14:textFill>
            <w14:solidFill>
              <w14:schemeClr w14:val="tx1"/>
            </w14:solidFill>
          </w14:textFill>
        </w:rPr>
        <w:t>通识</w:t>
      </w:r>
      <w:r>
        <w:rPr>
          <w:rFonts w:ascii="仿宋_GB2312" w:hAnsi="Times New Roman" w:eastAsia="仿宋_GB2312"/>
          <w:color w:val="000000" w:themeColor="text1"/>
          <w:sz w:val="32"/>
          <w:szCs w:val="32"/>
          <w:highlight w:val="none"/>
          <w14:textFill>
            <w14:solidFill>
              <w14:schemeClr w14:val="tx1"/>
            </w14:solidFill>
          </w14:textFill>
        </w:rPr>
        <w:t>选修课</w:t>
      </w:r>
      <w:r>
        <w:rPr>
          <w:rFonts w:hint="eastAsia" w:ascii="仿宋_GB2312" w:hAnsi="Times New Roman" w:eastAsia="仿宋_GB2312"/>
          <w:color w:val="000000" w:themeColor="text1"/>
          <w:sz w:val="32"/>
          <w:szCs w:val="32"/>
          <w:highlight w:val="none"/>
          <w14:textFill>
            <w14:solidFill>
              <w14:schemeClr w14:val="tx1"/>
            </w14:solidFill>
          </w14:textFill>
        </w:rPr>
        <w:t>程</w:t>
      </w:r>
      <w:r>
        <w:rPr>
          <w:rFonts w:ascii="仿宋_GB2312" w:hAnsi="Times New Roman" w:eastAsia="仿宋_GB2312"/>
          <w:sz w:val="32"/>
          <w:szCs w:val="32"/>
          <w:highlight w:val="none"/>
        </w:rPr>
        <w:t>；不允许同时选修本专业培养方案所要求的数学必修课和I类</w:t>
      </w:r>
      <w:r>
        <w:rPr>
          <w:rFonts w:hint="eastAsia" w:ascii="仿宋_GB2312" w:hAnsi="Times New Roman" w:eastAsia="仿宋_GB2312"/>
          <w:sz w:val="32"/>
          <w:szCs w:val="32"/>
          <w:highlight w:val="none"/>
        </w:rPr>
        <w:t>数学</w:t>
      </w:r>
      <w:r>
        <w:rPr>
          <w:rFonts w:ascii="仿宋_GB2312" w:hAnsi="Times New Roman" w:eastAsia="仿宋_GB2312"/>
          <w:sz w:val="32"/>
          <w:szCs w:val="32"/>
          <w:highlight w:val="none"/>
        </w:rPr>
        <w:t>荣誉课程中同类型课程</w:t>
      </w:r>
      <w:r>
        <w:rPr>
          <w:rFonts w:hint="eastAsia" w:ascii="仿宋_GB2312" w:hAnsi="Times New Roman" w:eastAsia="仿宋_GB2312"/>
          <w:sz w:val="32"/>
          <w:szCs w:val="32"/>
          <w:highlight w:val="none"/>
        </w:rPr>
        <w:t>。</w:t>
      </w:r>
      <w:r>
        <w:rPr>
          <w:rFonts w:ascii="仿宋_GB2312" w:hAnsi="Times New Roman" w:eastAsia="仿宋_GB2312"/>
          <w:sz w:val="32"/>
          <w:szCs w:val="32"/>
          <w:highlight w:val="none"/>
        </w:rPr>
        <w:t>II</w:t>
      </w:r>
      <w:r>
        <w:rPr>
          <w:rFonts w:hint="eastAsia" w:ascii="仿宋_GB2312" w:hAnsi="Times New Roman" w:eastAsia="仿宋_GB2312"/>
          <w:sz w:val="32"/>
          <w:szCs w:val="32"/>
          <w:highlight w:val="none"/>
        </w:rPr>
        <w:t>类</w:t>
      </w:r>
      <w:r>
        <w:rPr>
          <w:rFonts w:ascii="仿宋_GB2312" w:hAnsi="Times New Roman" w:eastAsia="仿宋_GB2312"/>
          <w:sz w:val="32"/>
          <w:szCs w:val="32"/>
          <w:highlight w:val="none"/>
        </w:rPr>
        <w:t>数学荣誉课程作为</w:t>
      </w:r>
      <w:r>
        <w:rPr>
          <w:rFonts w:hint="eastAsia" w:ascii="仿宋_GB2312" w:hAnsi="Times New Roman" w:eastAsia="仿宋_GB2312"/>
          <w:sz w:val="32"/>
          <w:szCs w:val="32"/>
          <w:highlight w:val="none"/>
        </w:rPr>
        <w:t>通识</w:t>
      </w:r>
      <w:r>
        <w:rPr>
          <w:rFonts w:ascii="仿宋_GB2312" w:hAnsi="Times New Roman" w:eastAsia="仿宋_GB2312"/>
          <w:sz w:val="32"/>
          <w:szCs w:val="32"/>
          <w:highlight w:val="none"/>
        </w:rPr>
        <w:t>选修课</w:t>
      </w:r>
      <w:r>
        <w:rPr>
          <w:rFonts w:hint="eastAsia" w:ascii="仿宋_GB2312" w:hAnsi="Times New Roman" w:eastAsia="仿宋_GB2312"/>
          <w:sz w:val="32"/>
          <w:szCs w:val="32"/>
          <w:highlight w:val="none"/>
        </w:rPr>
        <w:t>程。</w:t>
      </w:r>
    </w:p>
    <w:p w14:paraId="0B01D52E">
      <w:pPr>
        <w:spacing w:line="360" w:lineRule="auto"/>
        <w:ind w:firstLine="640" w:firstLineChars="200"/>
        <w:rPr>
          <w:rFonts w:ascii="仿宋_GB2312" w:hAnsi="Times New Roman" w:eastAsia="仿宋_GB2312"/>
          <w:sz w:val="32"/>
          <w:szCs w:val="32"/>
        </w:rPr>
      </w:pPr>
      <w:r>
        <w:rPr>
          <w:rFonts w:ascii="仿宋_GB2312" w:hAnsi="Times New Roman" w:eastAsia="仿宋_GB2312"/>
          <w:sz w:val="32"/>
          <w:szCs w:val="32"/>
        </w:rPr>
        <w:t>不合格的数学荣誉课程不纳入重修范围，不影响转专业、保研及评奖评优</w:t>
      </w:r>
      <w:r>
        <w:rPr>
          <w:rFonts w:hint="eastAsia" w:ascii="仿宋_GB2312" w:hAnsi="Times New Roman" w:eastAsia="仿宋_GB2312"/>
          <w:sz w:val="32"/>
          <w:szCs w:val="32"/>
        </w:rPr>
        <w:t>，学生</w:t>
      </w:r>
      <w:r>
        <w:rPr>
          <w:rFonts w:ascii="仿宋_GB2312" w:hAnsi="Times New Roman" w:eastAsia="仿宋_GB2312"/>
          <w:sz w:val="32"/>
          <w:szCs w:val="32"/>
        </w:rPr>
        <w:t>须</w:t>
      </w:r>
      <w:r>
        <w:rPr>
          <w:rFonts w:hint="eastAsia" w:ascii="仿宋_GB2312" w:hAnsi="Times New Roman" w:eastAsia="仿宋_GB2312"/>
          <w:sz w:val="32"/>
          <w:szCs w:val="32"/>
        </w:rPr>
        <w:t>补修</w:t>
      </w:r>
      <w:r>
        <w:rPr>
          <w:rFonts w:ascii="仿宋_GB2312" w:hAnsi="Times New Roman" w:eastAsia="仿宋_GB2312"/>
          <w:sz w:val="32"/>
          <w:szCs w:val="32"/>
        </w:rPr>
        <w:t>本专业人才培养方案所要求的数学必修课程</w:t>
      </w:r>
      <w:r>
        <w:rPr>
          <w:rFonts w:hint="eastAsia" w:ascii="仿宋_GB2312" w:hAnsi="Times New Roman" w:eastAsia="仿宋_GB2312"/>
          <w:sz w:val="32"/>
          <w:szCs w:val="32"/>
        </w:rPr>
        <w:t>。学生毕业前应完成本专业人才培养方案规定的全部数学课程</w:t>
      </w:r>
      <w:r>
        <w:rPr>
          <w:rFonts w:ascii="仿宋_GB2312" w:hAnsi="Times New Roman" w:eastAsia="仿宋_GB2312"/>
          <w:sz w:val="32"/>
          <w:szCs w:val="32"/>
        </w:rPr>
        <w:t>。</w:t>
      </w:r>
    </w:p>
    <w:p w14:paraId="6116E5D1">
      <w:pPr>
        <w:spacing w:line="360" w:lineRule="auto"/>
        <w:ind w:firstLine="643" w:firstLineChars="200"/>
        <w:rPr>
          <w:rFonts w:ascii="仿宋_GB2312" w:hAnsi="Times New Roman" w:eastAsia="仿宋_GB2312"/>
          <w:sz w:val="32"/>
          <w:szCs w:val="32"/>
          <w:highlight w:val="none"/>
        </w:rPr>
      </w:pPr>
      <w:r>
        <w:rPr>
          <w:rFonts w:ascii="仿宋_GB2312" w:hAnsi="Times New Roman" w:eastAsia="仿宋_GB2312"/>
          <w:b/>
          <w:sz w:val="32"/>
          <w:szCs w:val="32"/>
        </w:rPr>
        <w:t>第</w:t>
      </w:r>
      <w:r>
        <w:rPr>
          <w:rFonts w:hint="eastAsia" w:ascii="仿宋_GB2312" w:hAnsi="Times New Roman" w:eastAsia="仿宋_GB2312"/>
          <w:b/>
          <w:sz w:val="32"/>
          <w:szCs w:val="32"/>
        </w:rPr>
        <w:t>六</w:t>
      </w:r>
      <w:r>
        <w:rPr>
          <w:rFonts w:ascii="仿宋_GB2312" w:hAnsi="Times New Roman" w:eastAsia="仿宋_GB2312"/>
          <w:b/>
          <w:sz w:val="32"/>
          <w:szCs w:val="32"/>
        </w:rPr>
        <w:t>条</w:t>
      </w:r>
      <w:r>
        <w:rPr>
          <w:rFonts w:ascii="仿宋_GB2312" w:hAnsi="Times New Roman" w:eastAsia="仿宋_GB2312"/>
          <w:sz w:val="32"/>
          <w:szCs w:val="32"/>
        </w:rPr>
        <w:t xml:space="preserve">  </w:t>
      </w:r>
      <w:r>
        <w:rPr>
          <w:rFonts w:hint="eastAsia" w:ascii="仿宋_GB2312" w:hAnsi="Times New Roman" w:eastAsia="仿宋_GB2312"/>
          <w:sz w:val="32"/>
          <w:szCs w:val="32"/>
        </w:rPr>
        <w:t>修读</w:t>
      </w:r>
      <w:r>
        <w:rPr>
          <w:rFonts w:ascii="仿宋_GB2312" w:hAnsi="Times New Roman" w:eastAsia="仿宋_GB2312"/>
          <w:sz w:val="32"/>
          <w:szCs w:val="32"/>
        </w:rPr>
        <w:t>4</w:t>
      </w:r>
      <w:r>
        <w:rPr>
          <w:rFonts w:hint="eastAsia" w:ascii="仿宋_GB2312" w:hAnsi="Times New Roman" w:eastAsia="仿宋_GB2312"/>
          <w:sz w:val="32"/>
          <w:szCs w:val="32"/>
        </w:rPr>
        <w:t>门以上I类数学荣誉课程或修读</w:t>
      </w:r>
      <w:r>
        <w:rPr>
          <w:rFonts w:ascii="仿宋_GB2312" w:hAnsi="Times New Roman" w:eastAsia="仿宋_GB2312"/>
          <w:sz w:val="32"/>
          <w:szCs w:val="32"/>
        </w:rPr>
        <w:t>2</w:t>
      </w:r>
      <w:r>
        <w:rPr>
          <w:rFonts w:hint="eastAsia" w:ascii="仿宋_GB2312" w:hAnsi="Times New Roman" w:eastAsia="仿宋_GB2312"/>
          <w:sz w:val="32"/>
          <w:szCs w:val="32"/>
        </w:rPr>
        <w:t>门以上</w:t>
      </w:r>
      <w:r>
        <w:rPr>
          <w:rFonts w:ascii="仿宋_GB2312" w:hAnsi="Times New Roman" w:eastAsia="仿宋_GB2312"/>
          <w:sz w:val="32"/>
          <w:szCs w:val="32"/>
        </w:rPr>
        <w:t>II</w:t>
      </w:r>
      <w:r>
        <w:rPr>
          <w:rFonts w:hint="eastAsia" w:ascii="仿宋_GB2312" w:hAnsi="Times New Roman" w:eastAsia="仿宋_GB2312"/>
          <w:sz w:val="32"/>
          <w:szCs w:val="32"/>
        </w:rPr>
        <w:t>类</w:t>
      </w:r>
      <w:r>
        <w:rPr>
          <w:rFonts w:ascii="仿宋_GB2312" w:hAnsi="Times New Roman" w:eastAsia="仿宋_GB2312"/>
          <w:sz w:val="32"/>
          <w:szCs w:val="32"/>
        </w:rPr>
        <w:t>数学荣誉课程</w:t>
      </w:r>
      <w:r>
        <w:rPr>
          <w:rFonts w:hint="eastAsia" w:ascii="仿宋_GB2312" w:hAnsi="Times New Roman" w:eastAsia="仿宋_GB2312"/>
          <w:sz w:val="32"/>
          <w:szCs w:val="32"/>
        </w:rPr>
        <w:t>，且每一门课程考试成绩均达80分以上的，学校</w:t>
      </w:r>
      <w:r>
        <w:rPr>
          <w:rFonts w:ascii="仿宋_GB2312" w:hAnsi="Times New Roman" w:eastAsia="仿宋_GB2312"/>
          <w:sz w:val="32"/>
          <w:szCs w:val="32"/>
        </w:rPr>
        <w:t>颁发数学荣誉课程证书</w:t>
      </w:r>
      <w:r>
        <w:rPr>
          <w:rFonts w:hint="eastAsia" w:ascii="仿宋_GB2312" w:hAnsi="Times New Roman" w:eastAsia="仿宋_GB2312"/>
          <w:sz w:val="32"/>
          <w:szCs w:val="32"/>
        </w:rPr>
        <w:t>（证书中载明所修全部课程），所在学院按校级一等奖（荣誉称号）作为评奖评优推免加分项目（该</w:t>
      </w:r>
      <w:r>
        <w:rPr>
          <w:rFonts w:hint="eastAsia" w:ascii="仿宋_GB2312" w:hAnsi="Times New Roman" w:eastAsia="仿宋_GB2312"/>
          <w:sz w:val="32"/>
          <w:szCs w:val="32"/>
          <w:highlight w:val="none"/>
        </w:rPr>
        <w:t>项仅针对以上其中一种情况进行单次奖励，不累计）。</w:t>
      </w:r>
    </w:p>
    <w:p w14:paraId="4C62258B">
      <w:pPr>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I类数学荣誉课程由学生所在学院认定，II类数学荣誉课程由数学学院认定。</w:t>
      </w:r>
    </w:p>
    <w:p w14:paraId="21282BAF">
      <w:pPr>
        <w:spacing w:line="360" w:lineRule="auto"/>
        <w:ind w:firstLine="640" w:firstLineChars="200"/>
        <w:rPr>
          <w:rFonts w:ascii="仿宋_GB2312" w:hAnsi="Times New Roman" w:eastAsia="仿宋_GB2312"/>
          <w:sz w:val="32"/>
          <w:szCs w:val="32"/>
          <w:highlight w:val="none"/>
        </w:rPr>
      </w:pPr>
      <w:r>
        <w:rPr>
          <w:rFonts w:ascii="仿宋_GB2312" w:hAnsi="Times New Roman" w:eastAsia="仿宋_GB2312"/>
          <w:sz w:val="32"/>
          <w:szCs w:val="32"/>
          <w:highlight w:val="none"/>
        </w:rPr>
        <w:t>对取得数学荣誉课程证书的学生，优先推荐参加学校、学院层面的境外交流项目的选拔</w:t>
      </w:r>
      <w:r>
        <w:rPr>
          <w:rFonts w:hint="eastAsia" w:ascii="仿宋_GB2312" w:hAnsi="Times New Roman" w:eastAsia="仿宋_GB2312"/>
          <w:sz w:val="32"/>
          <w:szCs w:val="32"/>
          <w:highlight w:val="none"/>
        </w:rPr>
        <w:t>，</w:t>
      </w:r>
      <w:r>
        <w:rPr>
          <w:rFonts w:ascii="仿宋_GB2312" w:hAnsi="Times New Roman" w:eastAsia="仿宋_GB2312"/>
          <w:sz w:val="32"/>
          <w:szCs w:val="32"/>
          <w:highlight w:val="none"/>
        </w:rPr>
        <w:t>优先推荐参加学校、学院层面的境内外实习。</w:t>
      </w:r>
    </w:p>
    <w:p w14:paraId="546175F5">
      <w:pPr>
        <w:spacing w:line="360" w:lineRule="auto"/>
        <w:ind w:firstLine="643" w:firstLineChars="200"/>
        <w:rPr>
          <w:rFonts w:ascii="仿宋_GB2312" w:hAnsi="Times New Roman" w:eastAsia="仿宋_GB2312"/>
          <w:sz w:val="32"/>
          <w:szCs w:val="32"/>
          <w:highlight w:val="none"/>
        </w:rPr>
      </w:pPr>
      <w:r>
        <w:rPr>
          <w:rFonts w:hint="eastAsia" w:ascii="仿宋_GB2312" w:hAnsi="Times New Roman" w:eastAsia="仿宋_GB2312"/>
          <w:b/>
          <w:sz w:val="32"/>
          <w:szCs w:val="32"/>
          <w:highlight w:val="none"/>
        </w:rPr>
        <w:t>第七条</w:t>
      </w:r>
      <w:r>
        <w:rPr>
          <w:rFonts w:hint="eastAsia" w:ascii="仿宋_GB2312" w:hAnsi="Times New Roman" w:eastAsia="仿宋_GB2312"/>
          <w:sz w:val="32"/>
          <w:szCs w:val="32"/>
          <w:highlight w:val="none"/>
        </w:rPr>
        <w:t xml:space="preserve"> </w:t>
      </w:r>
      <w:r>
        <w:rPr>
          <w:rFonts w:ascii="仿宋_GB2312" w:hAnsi="Times New Roman" w:eastAsia="仿宋_GB2312"/>
          <w:sz w:val="32"/>
          <w:szCs w:val="32"/>
          <w:highlight w:val="none"/>
        </w:rPr>
        <w:t xml:space="preserve"> </w:t>
      </w:r>
      <w:r>
        <w:rPr>
          <w:rFonts w:hint="eastAsia" w:ascii="仿宋_GB2312" w:hAnsi="Times New Roman" w:eastAsia="仿宋_GB2312"/>
          <w:sz w:val="32"/>
          <w:szCs w:val="32"/>
          <w:highlight w:val="none"/>
        </w:rPr>
        <w:t>取得本专业学士学位的学生，满足如下条件者，学校颁发数学荣誉学士学位证书：</w:t>
      </w:r>
    </w:p>
    <w:p w14:paraId="60DDB0CA">
      <w:pPr>
        <w:spacing w:line="360" w:lineRule="auto"/>
        <w:ind w:firstLine="640" w:firstLineChars="200"/>
        <w:rPr>
          <w:rFonts w:ascii="仿宋_GB2312" w:hAnsi="Times New Roman" w:eastAsia="仿宋_GB2312"/>
          <w:color w:val="000000" w:themeColor="text1"/>
          <w:sz w:val="32"/>
          <w:szCs w:val="32"/>
          <w:highlight w:val="none"/>
          <w14:textFill>
            <w14:solidFill>
              <w14:schemeClr w14:val="tx1"/>
            </w14:solidFill>
          </w14:textFill>
        </w:rPr>
      </w:pPr>
      <w:r>
        <w:rPr>
          <w:rFonts w:ascii="仿宋_GB2312" w:hAnsi="Times New Roman" w:eastAsia="仿宋_GB2312"/>
          <w:sz w:val="32"/>
          <w:szCs w:val="32"/>
          <w:highlight w:val="none"/>
        </w:rPr>
        <w:t>1.修读4</w:t>
      </w:r>
      <w:r>
        <w:rPr>
          <w:rFonts w:hint="eastAsia" w:ascii="仿宋_GB2312" w:hAnsi="Times New Roman" w:eastAsia="仿宋_GB2312"/>
          <w:sz w:val="32"/>
          <w:szCs w:val="32"/>
          <w:highlight w:val="none"/>
        </w:rPr>
        <w:t>门以上</w:t>
      </w:r>
      <w:r>
        <w:rPr>
          <w:rFonts w:ascii="仿宋_GB2312" w:hAnsi="Times New Roman" w:eastAsia="仿宋_GB2312"/>
          <w:sz w:val="32"/>
          <w:szCs w:val="32"/>
          <w:highlight w:val="none"/>
        </w:rPr>
        <w:t>II</w:t>
      </w:r>
      <w:r>
        <w:rPr>
          <w:rFonts w:hint="eastAsia" w:ascii="仿宋_GB2312" w:hAnsi="Times New Roman" w:eastAsia="仿宋_GB2312"/>
          <w:sz w:val="32"/>
          <w:szCs w:val="32"/>
          <w:highlight w:val="none"/>
        </w:rPr>
        <w:t>类</w:t>
      </w:r>
      <w:r>
        <w:rPr>
          <w:rFonts w:ascii="仿宋_GB2312" w:hAnsi="Times New Roman" w:eastAsia="仿宋_GB2312"/>
          <w:sz w:val="32"/>
          <w:szCs w:val="32"/>
          <w:highlight w:val="none"/>
        </w:rPr>
        <w:t>数学荣誉课程，</w:t>
      </w:r>
      <w:r>
        <w:rPr>
          <w:rFonts w:ascii="仿宋_GB2312" w:hAnsi="Times New Roman" w:eastAsia="仿宋_GB2312"/>
          <w:color w:val="000000" w:themeColor="text1"/>
          <w:sz w:val="32"/>
          <w:szCs w:val="32"/>
          <w:highlight w:val="none"/>
          <w14:textFill>
            <w14:solidFill>
              <w14:schemeClr w14:val="tx1"/>
            </w14:solidFill>
          </w14:textFill>
        </w:rPr>
        <w:t>且每门</w:t>
      </w:r>
      <w:r>
        <w:rPr>
          <w:rFonts w:hint="eastAsia" w:ascii="仿宋_GB2312" w:hAnsi="Times New Roman" w:eastAsia="仿宋_GB2312"/>
          <w:color w:val="000000" w:themeColor="text1"/>
          <w:sz w:val="32"/>
          <w:szCs w:val="32"/>
          <w:highlight w:val="none"/>
          <w14:textFill>
            <w14:solidFill>
              <w14:schemeClr w14:val="tx1"/>
            </w14:solidFill>
          </w14:textFill>
        </w:rPr>
        <w:t>数学</w:t>
      </w:r>
      <w:r>
        <w:rPr>
          <w:rFonts w:ascii="仿宋_GB2312" w:hAnsi="Times New Roman" w:eastAsia="仿宋_GB2312"/>
          <w:color w:val="000000" w:themeColor="text1"/>
          <w:sz w:val="32"/>
          <w:szCs w:val="32"/>
          <w:highlight w:val="none"/>
          <w14:textFill>
            <w14:solidFill>
              <w14:schemeClr w14:val="tx1"/>
            </w14:solidFill>
          </w14:textFill>
        </w:rPr>
        <w:t>荣誉课程</w:t>
      </w:r>
      <w:r>
        <w:rPr>
          <w:rFonts w:hint="eastAsia" w:ascii="仿宋_GB2312" w:hAnsi="Times New Roman" w:eastAsia="仿宋_GB2312"/>
          <w:color w:val="000000" w:themeColor="text1"/>
          <w:sz w:val="32"/>
          <w:szCs w:val="32"/>
          <w:highlight w:val="none"/>
          <w14:textFill>
            <w14:solidFill>
              <w14:schemeClr w14:val="tx1"/>
            </w14:solidFill>
          </w14:textFill>
        </w:rPr>
        <w:t>考试成绩</w:t>
      </w:r>
      <w:r>
        <w:rPr>
          <w:rFonts w:ascii="仿宋_GB2312" w:hAnsi="Times New Roman" w:eastAsia="仿宋_GB2312"/>
          <w:color w:val="000000" w:themeColor="text1"/>
          <w:sz w:val="32"/>
          <w:szCs w:val="32"/>
          <w:highlight w:val="none"/>
          <w14:textFill>
            <w14:solidFill>
              <w14:schemeClr w14:val="tx1"/>
            </w14:solidFill>
          </w14:textFill>
        </w:rPr>
        <w:t>达80分以上。</w:t>
      </w:r>
    </w:p>
    <w:p w14:paraId="4691B231">
      <w:pPr>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2.勤奋学习，刻苦钻研，已修学的必修课程无补考或重修记录，</w:t>
      </w:r>
      <w:r>
        <w:rPr>
          <w:rFonts w:hint="eastAsia" w:ascii="仿宋_GB2312" w:hAnsi="Times New Roman" w:eastAsia="仿宋_GB2312"/>
          <w:sz w:val="32"/>
          <w:szCs w:val="32"/>
          <w:highlight w:val="none"/>
          <w:lang w:eastAsia="zh-CN"/>
        </w:rPr>
        <w:t>学分加权平均分</w:t>
      </w:r>
      <w:r>
        <w:rPr>
          <w:rFonts w:hint="eastAsia" w:ascii="仿宋_GB2312" w:hAnsi="Times New Roman" w:eastAsia="仿宋_GB2312"/>
          <w:color w:val="000000" w:themeColor="text1"/>
          <w:sz w:val="32"/>
          <w:szCs w:val="32"/>
          <w:highlight w:val="none"/>
          <w14:textFill>
            <w14:solidFill>
              <w14:schemeClr w14:val="tx1"/>
            </w14:solidFill>
          </w14:textFill>
        </w:rPr>
        <w:t>在</w:t>
      </w:r>
      <w:r>
        <w:rPr>
          <w:rFonts w:hint="eastAsia" w:ascii="仿宋_GB2312" w:hAnsi="Times New Roman" w:eastAsia="仿宋_GB2312"/>
          <w:color w:val="000000" w:themeColor="text1"/>
          <w:sz w:val="32"/>
          <w:szCs w:val="32"/>
          <w:highlight w:val="none"/>
          <w:lang w:eastAsia="zh-CN"/>
          <w14:textFill>
            <w14:solidFill>
              <w14:schemeClr w14:val="tx1"/>
            </w14:solidFill>
          </w14:textFill>
        </w:rPr>
        <w:t>80分</w:t>
      </w:r>
      <w:r>
        <w:rPr>
          <w:rFonts w:hint="eastAsia" w:ascii="仿宋_GB2312" w:hAnsi="Times New Roman" w:eastAsia="仿宋_GB2312"/>
          <w:sz w:val="32"/>
          <w:szCs w:val="32"/>
          <w:highlight w:val="none"/>
        </w:rPr>
        <w:t>以上且</w:t>
      </w:r>
      <w:r>
        <w:rPr>
          <w:rFonts w:ascii="仿宋_GB2312" w:hAnsi="Times New Roman" w:eastAsia="仿宋_GB2312"/>
          <w:sz w:val="32"/>
          <w:szCs w:val="32"/>
          <w:highlight w:val="none"/>
        </w:rPr>
        <w:t>主修专业的课程平均学分绩点在本专业排名前30%</w:t>
      </w:r>
      <w:r>
        <w:rPr>
          <w:rFonts w:hint="eastAsia" w:ascii="仿宋_GB2312" w:hAnsi="Times New Roman" w:eastAsia="仿宋_GB2312"/>
          <w:sz w:val="32"/>
          <w:szCs w:val="32"/>
          <w:highlight w:val="none"/>
        </w:rPr>
        <w:t>。</w:t>
      </w:r>
      <w:r>
        <w:rPr>
          <w:rFonts w:ascii="仿宋_GB2312" w:hAnsi="Times New Roman" w:eastAsia="仿宋_GB2312"/>
          <w:sz w:val="32"/>
          <w:szCs w:val="32"/>
          <w:highlight w:val="none"/>
        </w:rPr>
        <w:t>成绩排名计算范围：</w:t>
      </w:r>
      <w:r>
        <w:rPr>
          <w:rFonts w:hint="eastAsia" w:ascii="仿宋_GB2312" w:hAnsi="Times New Roman" w:eastAsia="仿宋_GB2312"/>
          <w:sz w:val="32"/>
          <w:szCs w:val="32"/>
          <w:highlight w:val="none"/>
        </w:rPr>
        <w:t>本专业培养方案中的思想政治</w:t>
      </w:r>
      <w:r>
        <w:rPr>
          <w:rFonts w:hint="eastAsia" w:ascii="仿宋_GB2312" w:hAnsi="Times New Roman" w:eastAsia="仿宋_GB2312"/>
          <w:sz w:val="32"/>
          <w:szCs w:val="32"/>
          <w:highlight w:val="none"/>
          <w:lang w:val="en-US" w:eastAsia="zh-CN"/>
        </w:rPr>
        <w:t>理论课</w:t>
      </w:r>
      <w:r>
        <w:rPr>
          <w:rFonts w:hint="eastAsia" w:ascii="仿宋_GB2312" w:hAnsi="Times New Roman" w:eastAsia="仿宋_GB2312"/>
          <w:sz w:val="32"/>
          <w:szCs w:val="32"/>
          <w:highlight w:val="none"/>
        </w:rPr>
        <w:t>、通识基础课、学科基础课、大类平台课、专业核心课、专业选修课。</w:t>
      </w:r>
    </w:p>
    <w:p w14:paraId="02D24997">
      <w:pPr>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highlight w:val="none"/>
        </w:rPr>
        <w:t>非涉外专业大学英语四级成绩在530分以上或六级成绩425分以上；涉外专业大学英</w:t>
      </w:r>
      <w:r>
        <w:rPr>
          <w:rFonts w:hint="eastAsia" w:ascii="仿宋_GB2312" w:hAnsi="Times New Roman" w:eastAsia="仿宋_GB2312"/>
          <w:sz w:val="32"/>
          <w:szCs w:val="32"/>
        </w:rPr>
        <w:t>语六级成绩在530分以上；或所有专业雅思、托福、GMAT成绩达到满分的70％以上水平。</w:t>
      </w:r>
    </w:p>
    <w:p w14:paraId="0115A506">
      <w:pPr>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3</w:t>
      </w:r>
      <w:r>
        <w:rPr>
          <w:rFonts w:ascii="仿宋_GB2312" w:hAnsi="Times New Roman" w:eastAsia="仿宋_GB2312"/>
          <w:sz w:val="32"/>
          <w:szCs w:val="32"/>
        </w:rPr>
        <w:t>.</w:t>
      </w:r>
      <w:r>
        <w:rPr>
          <w:rFonts w:hint="eastAsia" w:ascii="仿宋_GB2312" w:hAnsi="Times New Roman" w:eastAsia="仿宋_GB2312"/>
          <w:sz w:val="32"/>
          <w:szCs w:val="32"/>
        </w:rPr>
        <w:t>诚实守信，学风端正，在校期间品学兼优，无考试作弊和剽窃他人学术成果记录，无违法违纪受纪律处分记录。</w:t>
      </w:r>
    </w:p>
    <w:p w14:paraId="02C2F11E">
      <w:pPr>
        <w:spacing w:line="360" w:lineRule="auto"/>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4</w:t>
      </w:r>
      <w:r>
        <w:rPr>
          <w:rFonts w:ascii="仿宋_GB2312" w:hAnsi="Times New Roman" w:eastAsia="仿宋_GB2312"/>
          <w:sz w:val="32"/>
          <w:szCs w:val="32"/>
          <w:highlight w:val="none"/>
        </w:rPr>
        <w:t>.</w:t>
      </w:r>
      <w:r>
        <w:rPr>
          <w:rFonts w:hint="eastAsia" w:ascii="仿宋_GB2312" w:hAnsi="Times New Roman" w:eastAsia="仿宋_GB2312"/>
          <w:sz w:val="32"/>
          <w:szCs w:val="32"/>
          <w:highlight w:val="none"/>
        </w:rPr>
        <w:t>学术研究兴趣浓厚，有较强的创新意识、创新能力和专业能力。</w:t>
      </w:r>
    </w:p>
    <w:p w14:paraId="13B65E21">
      <w:pPr>
        <w:spacing w:line="360" w:lineRule="auto"/>
        <w:ind w:firstLine="643" w:firstLineChars="200"/>
        <w:rPr>
          <w:rFonts w:ascii="仿宋_GB2312" w:hAnsi="Times New Roman" w:eastAsia="仿宋_GB2312"/>
          <w:sz w:val="32"/>
          <w:szCs w:val="32"/>
          <w:highlight w:val="none"/>
        </w:rPr>
      </w:pPr>
      <w:r>
        <w:rPr>
          <w:rFonts w:hint="eastAsia" w:ascii="仿宋_GB2312" w:hAnsi="Times New Roman" w:eastAsia="仿宋_GB2312"/>
          <w:b/>
          <w:sz w:val="32"/>
          <w:szCs w:val="32"/>
          <w:highlight w:val="none"/>
        </w:rPr>
        <w:t xml:space="preserve">第八条  </w:t>
      </w:r>
      <w:r>
        <w:rPr>
          <w:rFonts w:hint="eastAsia" w:ascii="仿宋_GB2312" w:hAnsi="Times New Roman" w:eastAsia="仿宋_GB2312"/>
          <w:sz w:val="32"/>
          <w:szCs w:val="32"/>
          <w:highlight w:val="none"/>
        </w:rPr>
        <w:t>本方案中的“以上”包含本数在内。</w:t>
      </w:r>
    </w:p>
    <w:p w14:paraId="34A18531">
      <w:pPr>
        <w:spacing w:line="360" w:lineRule="auto"/>
        <w:ind w:firstLine="643" w:firstLineChars="200"/>
        <w:rPr>
          <w:rFonts w:hint="eastAsia" w:ascii="仿宋_GB2312" w:hAnsi="Times New Roman" w:eastAsia="仿宋_GB2312"/>
          <w:sz w:val="32"/>
          <w:szCs w:val="32"/>
          <w:highlight w:val="none"/>
        </w:rPr>
      </w:pPr>
      <w:r>
        <w:rPr>
          <w:rFonts w:hint="eastAsia" w:ascii="仿宋_GB2312" w:hAnsi="Times New Roman" w:eastAsia="仿宋_GB2312"/>
          <w:b/>
          <w:bCs/>
          <w:sz w:val="32"/>
          <w:szCs w:val="32"/>
          <w:highlight w:val="none"/>
        </w:rPr>
        <w:t>第九条</w:t>
      </w:r>
      <w:r>
        <w:rPr>
          <w:rFonts w:hint="eastAsia" w:ascii="仿宋_GB2312" w:hAnsi="Times New Roman" w:eastAsia="仿宋_GB2312"/>
          <w:sz w:val="32"/>
          <w:szCs w:val="32"/>
          <w:highlight w:val="none"/>
        </w:rPr>
        <w:t xml:space="preserve"> </w:t>
      </w:r>
      <w:r>
        <w:rPr>
          <w:rFonts w:hint="eastAsia" w:ascii="仿宋_GB2312" w:hAnsi="Times New Roman" w:eastAsia="仿宋_GB2312"/>
          <w:sz w:val="32"/>
          <w:szCs w:val="32"/>
          <w:highlight w:val="none"/>
          <w:lang w:val="en-US" w:eastAsia="zh-CN"/>
        </w:rPr>
        <w:t xml:space="preserve"> </w:t>
      </w:r>
      <w:r>
        <w:rPr>
          <w:rFonts w:hint="eastAsia" w:ascii="仿宋_GB2312" w:hAnsi="Times New Roman" w:eastAsia="仿宋_GB2312"/>
          <w:sz w:val="32"/>
          <w:szCs w:val="32"/>
          <w:highlight w:val="none"/>
        </w:rPr>
        <w:t>本方案由教务处负责解释。</w:t>
      </w:r>
    </w:p>
    <w:p w14:paraId="745921D7">
      <w:pPr>
        <w:spacing w:line="360" w:lineRule="auto"/>
        <w:jc w:val="left"/>
        <w:rPr>
          <w:rFonts w:ascii="仿宋_GB2312" w:hAnsi="Times New Roman" w:eastAsia="仿宋_GB2312"/>
          <w:sz w:val="32"/>
          <w:szCs w:val="32"/>
          <w:highlight w:val="none"/>
        </w:rPr>
      </w:pPr>
      <w:r>
        <w:rPr>
          <w:rFonts w:hint="eastAsia" w:ascii="仿宋_GB2312" w:hAnsi="Times New Roman" w:eastAsia="仿宋_GB2312"/>
          <w:b/>
          <w:sz w:val="32"/>
          <w:szCs w:val="32"/>
          <w:highlight w:val="none"/>
        </w:rPr>
        <w:t xml:space="preserve">    </w:t>
      </w:r>
      <w:r>
        <w:rPr>
          <w:rFonts w:ascii="仿宋_GB2312" w:hAnsi="Times New Roman" w:eastAsia="仿宋_GB2312"/>
          <w:b/>
          <w:sz w:val="32"/>
          <w:szCs w:val="32"/>
          <w:highlight w:val="none"/>
        </w:rPr>
        <w:t>第</w:t>
      </w:r>
      <w:r>
        <w:rPr>
          <w:rFonts w:hint="eastAsia" w:ascii="仿宋_GB2312" w:hAnsi="Times New Roman" w:eastAsia="仿宋_GB2312"/>
          <w:b/>
          <w:sz w:val="32"/>
          <w:szCs w:val="32"/>
          <w:highlight w:val="none"/>
        </w:rPr>
        <w:t>十</w:t>
      </w:r>
      <w:r>
        <w:rPr>
          <w:rFonts w:ascii="仿宋_GB2312" w:hAnsi="Times New Roman" w:eastAsia="仿宋_GB2312"/>
          <w:b/>
          <w:sz w:val="32"/>
          <w:szCs w:val="32"/>
          <w:highlight w:val="none"/>
        </w:rPr>
        <w:t>条</w:t>
      </w:r>
      <w:r>
        <w:rPr>
          <w:rFonts w:ascii="仿宋_GB2312" w:hAnsi="Times New Roman" w:eastAsia="仿宋_GB2312"/>
          <w:sz w:val="32"/>
          <w:szCs w:val="32"/>
          <w:highlight w:val="none"/>
        </w:rPr>
        <w:t xml:space="preserve"> </w:t>
      </w:r>
      <w:r>
        <w:rPr>
          <w:rFonts w:hint="eastAsia" w:ascii="仿宋_GB2312" w:hAnsi="Times New Roman" w:eastAsia="仿宋_GB2312"/>
          <w:sz w:val="32"/>
          <w:szCs w:val="32"/>
          <w:highlight w:val="none"/>
        </w:rPr>
        <w:t xml:space="preserve"> 本方案自2024</w:t>
      </w:r>
      <w:r>
        <w:rPr>
          <w:rFonts w:hint="eastAsia" w:ascii="仿宋_GB2312" w:hAnsi="Times New Roman" w:eastAsia="仿宋_GB2312"/>
          <w:sz w:val="32"/>
          <w:szCs w:val="32"/>
          <w:highlight w:val="none"/>
          <w:lang w:val="en-US" w:eastAsia="zh-CN"/>
        </w:rPr>
        <w:t>级</w:t>
      </w:r>
      <w:r>
        <w:rPr>
          <w:rFonts w:hint="eastAsia" w:ascii="仿宋_GB2312" w:hAnsi="Times New Roman" w:eastAsia="仿宋_GB2312"/>
          <w:sz w:val="32"/>
          <w:szCs w:val="32"/>
          <w:highlight w:val="none"/>
        </w:rPr>
        <w:t>本科生起实施。原方案适用于2021级、2022级、2023级本科生，待三个年级学生毕业后，原方案废止。</w:t>
      </w:r>
    </w:p>
    <w:p w14:paraId="5F754094">
      <w:pPr>
        <w:spacing w:line="360" w:lineRule="auto"/>
        <w:ind w:firstLine="640" w:firstLineChars="200"/>
        <w:rPr>
          <w:rFonts w:ascii="仿宋_GB2312" w:hAnsi="Times New Roman" w:eastAsia="仿宋_GB2312"/>
          <w:sz w:val="32"/>
          <w:szCs w:val="32"/>
          <w:highlight w:val="none"/>
        </w:rPr>
      </w:pPr>
    </w:p>
    <w:p w14:paraId="4E957773">
      <w:pPr>
        <w:spacing w:line="360" w:lineRule="auto"/>
        <w:rPr>
          <w:rFonts w:ascii="仿宋_GB2312" w:hAnsi="Times New Roman" w:eastAsia="仿宋_GB2312"/>
          <w:b/>
          <w:sz w:val="32"/>
          <w:szCs w:val="32"/>
          <w:highlight w:val="none"/>
        </w:rPr>
      </w:pPr>
      <w:r>
        <w:rPr>
          <w:rFonts w:hint="eastAsia" w:ascii="仿宋_GB2312" w:hAnsi="Times New Roman" w:eastAsia="仿宋_GB2312"/>
          <w:b/>
          <w:sz w:val="28"/>
          <w:szCs w:val="32"/>
          <w:highlight w:val="none"/>
        </w:rPr>
        <w:t>附：</w:t>
      </w:r>
    </w:p>
    <w:p w14:paraId="7383B6DE">
      <w:pPr>
        <w:spacing w:line="360" w:lineRule="auto"/>
        <w:ind w:firstLine="480" w:firstLineChars="200"/>
        <w:rPr>
          <w:rFonts w:ascii="仿宋_GB2312" w:hAnsi="Times New Roman" w:eastAsia="仿宋_GB2312"/>
          <w:sz w:val="24"/>
          <w:szCs w:val="24"/>
          <w:highlight w:val="none"/>
        </w:rPr>
      </w:pPr>
      <w:r>
        <w:rPr>
          <w:rFonts w:ascii="仿宋_GB2312" w:hAnsi="Times New Roman" w:eastAsia="仿宋_GB2312"/>
          <w:sz w:val="24"/>
          <w:szCs w:val="24"/>
          <w:highlight w:val="none"/>
        </w:rPr>
        <w:t>1.难度高于本专业人才培养方案要求的</w:t>
      </w:r>
      <w:r>
        <w:rPr>
          <w:rFonts w:hint="eastAsia" w:ascii="仿宋_GB2312" w:hAnsi="Times New Roman" w:eastAsia="仿宋_GB2312"/>
          <w:sz w:val="24"/>
          <w:szCs w:val="24"/>
          <w:highlight w:val="none"/>
        </w:rPr>
        <w:t>部分I类数学荣誉课程：数学分析Ⅰ（数学分析Ⅰ（理科））、数学分析Ⅱ（数学分析Ⅱ（理科））、数学分析Ⅲ（理科）、高等代数I（高等代数Ⅰ（理科））、高等代数Ⅱ（高等代数Ⅱ（理科））和概率论与数理统计A。</w:t>
      </w:r>
    </w:p>
    <w:p w14:paraId="1EFD82E1">
      <w:pPr>
        <w:widowControl/>
        <w:spacing w:line="360" w:lineRule="auto"/>
        <w:ind w:firstLine="480" w:firstLineChars="200"/>
        <w:rPr>
          <w:rFonts w:ascii="仿宋_GB2312" w:hAnsi="Times New Roman" w:eastAsia="仿宋_GB2312"/>
          <w:sz w:val="24"/>
          <w:szCs w:val="24"/>
          <w:highlight w:val="none"/>
        </w:rPr>
      </w:pPr>
      <w:r>
        <w:rPr>
          <w:rFonts w:ascii="仿宋_GB2312" w:hAnsi="Times New Roman" w:eastAsia="仿宋_GB2312"/>
          <w:sz w:val="24"/>
          <w:szCs w:val="24"/>
          <w:highlight w:val="none"/>
        </w:rPr>
        <w:t>2.</w:t>
      </w:r>
      <w:r>
        <w:rPr>
          <w:rFonts w:hint="eastAsia" w:ascii="仿宋_GB2312" w:hAnsi="Times New Roman" w:eastAsia="仿宋_GB2312"/>
          <w:sz w:val="24"/>
          <w:szCs w:val="24"/>
          <w:highlight w:val="none"/>
        </w:rPr>
        <w:t xml:space="preserve"> Ⅱ类数学荣誉课程</w:t>
      </w:r>
    </w:p>
    <w:tbl>
      <w:tblPr>
        <w:tblStyle w:val="4"/>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15"/>
        <w:gridCol w:w="802"/>
        <w:gridCol w:w="5129"/>
      </w:tblGrid>
      <w:tr w14:paraId="6DC0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17" w:type="dxa"/>
          </w:tcPr>
          <w:p w14:paraId="52980C81">
            <w:pPr>
              <w:widowControl/>
              <w:jc w:val="center"/>
              <w:rPr>
                <w:rFonts w:ascii="仿宋_GB2312" w:hAnsi="Times New Roman" w:eastAsia="仿宋_GB2312"/>
                <w:b/>
                <w:szCs w:val="24"/>
                <w:highlight w:val="none"/>
              </w:rPr>
            </w:pPr>
            <w:r>
              <w:rPr>
                <w:rFonts w:ascii="仿宋_GB2312" w:hAnsi="Times New Roman" w:eastAsia="仿宋_GB2312"/>
                <w:b/>
                <w:szCs w:val="24"/>
                <w:highlight w:val="none"/>
              </w:rPr>
              <w:t>序号</w:t>
            </w:r>
          </w:p>
        </w:tc>
        <w:tc>
          <w:tcPr>
            <w:tcW w:w="1715" w:type="dxa"/>
          </w:tcPr>
          <w:p w14:paraId="3F84E560">
            <w:pPr>
              <w:widowControl/>
              <w:ind w:firstLine="173" w:firstLineChars="82"/>
              <w:jc w:val="center"/>
              <w:rPr>
                <w:rFonts w:ascii="仿宋_GB2312" w:hAnsi="Times New Roman" w:eastAsia="仿宋_GB2312"/>
                <w:b/>
                <w:szCs w:val="24"/>
                <w:highlight w:val="none"/>
              </w:rPr>
            </w:pPr>
            <w:r>
              <w:rPr>
                <w:rFonts w:ascii="仿宋_GB2312" w:hAnsi="Times New Roman" w:eastAsia="仿宋_GB2312"/>
                <w:b/>
                <w:szCs w:val="24"/>
                <w:highlight w:val="none"/>
              </w:rPr>
              <w:t>课程名称</w:t>
            </w:r>
          </w:p>
        </w:tc>
        <w:tc>
          <w:tcPr>
            <w:tcW w:w="802" w:type="dxa"/>
          </w:tcPr>
          <w:p w14:paraId="7519C5D4">
            <w:pPr>
              <w:widowControl/>
              <w:jc w:val="center"/>
              <w:rPr>
                <w:rFonts w:ascii="仿宋_GB2312" w:hAnsi="Times New Roman" w:eastAsia="仿宋_GB2312"/>
                <w:b/>
                <w:szCs w:val="24"/>
                <w:highlight w:val="none"/>
              </w:rPr>
            </w:pPr>
            <w:r>
              <w:rPr>
                <w:rFonts w:ascii="仿宋_GB2312" w:hAnsi="Times New Roman" w:eastAsia="仿宋_GB2312"/>
                <w:b/>
                <w:szCs w:val="24"/>
                <w:highlight w:val="none"/>
              </w:rPr>
              <w:t>学分</w:t>
            </w:r>
          </w:p>
        </w:tc>
        <w:tc>
          <w:tcPr>
            <w:tcW w:w="5129" w:type="dxa"/>
          </w:tcPr>
          <w:p w14:paraId="263105DD">
            <w:pPr>
              <w:widowControl/>
              <w:jc w:val="center"/>
              <w:rPr>
                <w:rFonts w:ascii="仿宋_GB2312" w:hAnsi="Times New Roman" w:eastAsia="仿宋_GB2312"/>
                <w:b/>
                <w:szCs w:val="24"/>
                <w:highlight w:val="none"/>
              </w:rPr>
            </w:pPr>
            <w:r>
              <w:rPr>
                <w:rFonts w:ascii="仿宋_GB2312" w:hAnsi="Times New Roman" w:eastAsia="仿宋_GB2312"/>
                <w:b/>
                <w:szCs w:val="24"/>
                <w:highlight w:val="none"/>
              </w:rPr>
              <w:t>先修课程</w:t>
            </w:r>
          </w:p>
        </w:tc>
      </w:tr>
      <w:tr w14:paraId="3780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17" w:type="dxa"/>
          </w:tcPr>
          <w:p w14:paraId="1C6D3415">
            <w:pPr>
              <w:widowControl/>
              <w:ind w:firstLine="174" w:firstLineChars="83"/>
              <w:rPr>
                <w:rFonts w:ascii="仿宋_GB2312" w:hAnsi="Times New Roman" w:eastAsia="仿宋_GB2312"/>
                <w:szCs w:val="24"/>
                <w:highlight w:val="none"/>
              </w:rPr>
            </w:pPr>
            <w:r>
              <w:rPr>
                <w:rFonts w:ascii="仿宋_GB2312" w:hAnsi="Times New Roman" w:eastAsia="仿宋_GB2312"/>
                <w:szCs w:val="24"/>
                <w:highlight w:val="none"/>
              </w:rPr>
              <w:t>1</w:t>
            </w:r>
          </w:p>
        </w:tc>
        <w:tc>
          <w:tcPr>
            <w:tcW w:w="1715" w:type="dxa"/>
          </w:tcPr>
          <w:p w14:paraId="134F97CB">
            <w:pPr>
              <w:widowControl/>
              <w:jc w:val="center"/>
              <w:rPr>
                <w:rFonts w:ascii="仿宋_GB2312" w:hAnsi="Times New Roman" w:eastAsia="仿宋_GB2312"/>
                <w:szCs w:val="24"/>
                <w:highlight w:val="none"/>
              </w:rPr>
            </w:pPr>
            <w:r>
              <w:rPr>
                <w:rFonts w:ascii="仿宋_GB2312" w:hAnsi="Times New Roman" w:eastAsia="仿宋_GB2312"/>
                <w:szCs w:val="24"/>
                <w:highlight w:val="none"/>
              </w:rPr>
              <w:t>优化理论</w:t>
            </w:r>
          </w:p>
        </w:tc>
        <w:tc>
          <w:tcPr>
            <w:tcW w:w="802" w:type="dxa"/>
          </w:tcPr>
          <w:p w14:paraId="315CC2FB">
            <w:pPr>
              <w:widowControl/>
              <w:ind w:firstLine="279" w:firstLineChars="133"/>
              <w:rPr>
                <w:rFonts w:ascii="仿宋_GB2312" w:hAnsi="Times New Roman" w:eastAsia="仿宋_GB2312"/>
                <w:szCs w:val="24"/>
                <w:highlight w:val="none"/>
              </w:rPr>
            </w:pPr>
            <w:r>
              <w:rPr>
                <w:rFonts w:hint="eastAsia" w:ascii="仿宋_GB2312" w:hAnsi="Times New Roman" w:eastAsia="仿宋_GB2312"/>
                <w:szCs w:val="24"/>
                <w:highlight w:val="none"/>
              </w:rPr>
              <w:t>3</w:t>
            </w:r>
          </w:p>
        </w:tc>
        <w:tc>
          <w:tcPr>
            <w:tcW w:w="5129" w:type="dxa"/>
          </w:tcPr>
          <w:p w14:paraId="0C9F90AD">
            <w:pPr>
              <w:widowControl/>
              <w:rPr>
                <w:rFonts w:ascii="仿宋_GB2312" w:hAnsi="Times New Roman" w:eastAsia="仿宋_GB2312"/>
                <w:szCs w:val="24"/>
                <w:highlight w:val="none"/>
              </w:rPr>
            </w:pPr>
            <w:r>
              <w:rPr>
                <w:rFonts w:ascii="仿宋_GB2312" w:hAnsi="Times New Roman" w:eastAsia="仿宋_GB2312"/>
                <w:szCs w:val="24"/>
                <w:highlight w:val="none"/>
              </w:rPr>
              <w:t>建议必修：数学分析（高等数学）、高等代数</w:t>
            </w:r>
            <w:r>
              <w:rPr>
                <w:rFonts w:hint="eastAsia" w:ascii="仿宋_GB2312" w:hAnsi="Times New Roman" w:eastAsia="仿宋_GB2312"/>
                <w:szCs w:val="24"/>
                <w:highlight w:val="none"/>
              </w:rPr>
              <w:t>（线性代数）</w:t>
            </w:r>
            <w:r>
              <w:rPr>
                <w:rFonts w:ascii="仿宋_GB2312" w:hAnsi="Times New Roman" w:eastAsia="仿宋_GB2312"/>
                <w:szCs w:val="24"/>
                <w:highlight w:val="none"/>
              </w:rPr>
              <w:t>、概率论</w:t>
            </w:r>
            <w:r>
              <w:rPr>
                <w:rFonts w:hint="eastAsia" w:ascii="仿宋_GB2312" w:hAnsi="Times New Roman" w:eastAsia="仿宋_GB2312"/>
                <w:szCs w:val="24"/>
                <w:highlight w:val="none"/>
              </w:rPr>
              <w:t>与数理统计</w:t>
            </w:r>
          </w:p>
        </w:tc>
      </w:tr>
      <w:tr w14:paraId="3C25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17" w:type="dxa"/>
          </w:tcPr>
          <w:p w14:paraId="7495BCC9">
            <w:pPr>
              <w:widowControl/>
              <w:ind w:firstLine="174" w:firstLineChars="83"/>
              <w:rPr>
                <w:rFonts w:ascii="仿宋_GB2312" w:hAnsi="Times New Roman" w:eastAsia="仿宋_GB2312"/>
                <w:szCs w:val="24"/>
                <w:highlight w:val="none"/>
              </w:rPr>
            </w:pPr>
            <w:r>
              <w:rPr>
                <w:rFonts w:ascii="仿宋_GB2312" w:hAnsi="Times New Roman" w:eastAsia="仿宋_GB2312"/>
                <w:szCs w:val="24"/>
                <w:highlight w:val="none"/>
              </w:rPr>
              <w:t>2</w:t>
            </w:r>
          </w:p>
        </w:tc>
        <w:tc>
          <w:tcPr>
            <w:tcW w:w="1715" w:type="dxa"/>
          </w:tcPr>
          <w:p w14:paraId="624E2197">
            <w:pPr>
              <w:widowControl/>
              <w:jc w:val="center"/>
              <w:rPr>
                <w:rFonts w:ascii="仿宋_GB2312" w:hAnsi="Times New Roman" w:eastAsia="仿宋_GB2312"/>
                <w:szCs w:val="24"/>
                <w:highlight w:val="none"/>
              </w:rPr>
            </w:pPr>
            <w:bookmarkStart w:id="0" w:name="_GoBack"/>
            <w:bookmarkEnd w:id="0"/>
            <w:r>
              <w:rPr>
                <w:rFonts w:ascii="仿宋_GB2312" w:hAnsi="Times New Roman" w:eastAsia="仿宋_GB2312"/>
                <w:szCs w:val="24"/>
                <w:highlight w:val="none"/>
              </w:rPr>
              <w:t>随机过程</w:t>
            </w:r>
          </w:p>
        </w:tc>
        <w:tc>
          <w:tcPr>
            <w:tcW w:w="802" w:type="dxa"/>
          </w:tcPr>
          <w:p w14:paraId="5764500B">
            <w:pPr>
              <w:widowControl/>
              <w:ind w:firstLine="279" w:firstLineChars="133"/>
              <w:rPr>
                <w:rFonts w:ascii="仿宋_GB2312" w:hAnsi="Times New Roman" w:eastAsia="仿宋_GB2312"/>
                <w:szCs w:val="24"/>
                <w:highlight w:val="none"/>
              </w:rPr>
            </w:pPr>
            <w:r>
              <w:rPr>
                <w:rFonts w:hint="eastAsia" w:ascii="仿宋_GB2312" w:hAnsi="Times New Roman" w:eastAsia="仿宋_GB2312"/>
                <w:szCs w:val="24"/>
                <w:highlight w:val="none"/>
              </w:rPr>
              <w:t>3</w:t>
            </w:r>
          </w:p>
        </w:tc>
        <w:tc>
          <w:tcPr>
            <w:tcW w:w="5129" w:type="dxa"/>
          </w:tcPr>
          <w:p w14:paraId="2C756E3B">
            <w:pPr>
              <w:widowControl/>
              <w:rPr>
                <w:rFonts w:ascii="仿宋_GB2312" w:hAnsi="Times New Roman" w:eastAsia="仿宋_GB2312"/>
                <w:szCs w:val="24"/>
                <w:highlight w:val="none"/>
              </w:rPr>
            </w:pPr>
            <w:r>
              <w:rPr>
                <w:rFonts w:ascii="仿宋_GB2312" w:hAnsi="Times New Roman" w:eastAsia="仿宋_GB2312"/>
                <w:szCs w:val="24"/>
                <w:highlight w:val="none"/>
              </w:rPr>
              <w:t>建议必修：数学分析（高等数学）、概率论</w:t>
            </w:r>
            <w:r>
              <w:rPr>
                <w:rFonts w:hint="eastAsia" w:ascii="仿宋_GB2312" w:hAnsi="Times New Roman" w:eastAsia="仿宋_GB2312"/>
                <w:szCs w:val="24"/>
                <w:highlight w:val="none"/>
              </w:rPr>
              <w:t>与数理统计</w:t>
            </w:r>
          </w:p>
        </w:tc>
      </w:tr>
      <w:tr w14:paraId="65FB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17" w:type="dxa"/>
          </w:tcPr>
          <w:p w14:paraId="372630E3">
            <w:pPr>
              <w:widowControl/>
              <w:ind w:firstLine="174" w:firstLineChars="83"/>
              <w:rPr>
                <w:rFonts w:ascii="仿宋_GB2312" w:hAnsi="Times New Roman" w:eastAsia="仿宋_GB2312"/>
                <w:szCs w:val="24"/>
                <w:highlight w:val="none"/>
              </w:rPr>
            </w:pPr>
            <w:r>
              <w:rPr>
                <w:rFonts w:ascii="仿宋_GB2312" w:hAnsi="Times New Roman" w:eastAsia="仿宋_GB2312"/>
                <w:szCs w:val="24"/>
                <w:highlight w:val="none"/>
              </w:rPr>
              <w:t>3</w:t>
            </w:r>
          </w:p>
        </w:tc>
        <w:tc>
          <w:tcPr>
            <w:tcW w:w="1715" w:type="dxa"/>
          </w:tcPr>
          <w:p w14:paraId="6316B754">
            <w:pPr>
              <w:widowControl/>
              <w:jc w:val="center"/>
              <w:rPr>
                <w:rFonts w:ascii="仿宋_GB2312" w:hAnsi="Times New Roman" w:eastAsia="仿宋_GB2312"/>
                <w:szCs w:val="24"/>
                <w:highlight w:val="none"/>
              </w:rPr>
            </w:pPr>
            <w:r>
              <w:rPr>
                <w:rFonts w:ascii="仿宋_GB2312" w:hAnsi="Times New Roman" w:eastAsia="仿宋_GB2312"/>
                <w:szCs w:val="24"/>
                <w:highlight w:val="none"/>
              </w:rPr>
              <w:t>偏微分方程</w:t>
            </w:r>
          </w:p>
        </w:tc>
        <w:tc>
          <w:tcPr>
            <w:tcW w:w="802" w:type="dxa"/>
          </w:tcPr>
          <w:p w14:paraId="143CEB48">
            <w:pPr>
              <w:widowControl/>
              <w:ind w:firstLine="279" w:firstLineChars="133"/>
              <w:rPr>
                <w:rFonts w:ascii="仿宋_GB2312" w:hAnsi="Times New Roman" w:eastAsia="仿宋_GB2312"/>
                <w:szCs w:val="24"/>
                <w:highlight w:val="none"/>
              </w:rPr>
            </w:pPr>
            <w:r>
              <w:rPr>
                <w:rFonts w:hint="eastAsia" w:ascii="仿宋_GB2312" w:hAnsi="Times New Roman" w:eastAsia="仿宋_GB2312"/>
                <w:szCs w:val="24"/>
                <w:highlight w:val="none"/>
              </w:rPr>
              <w:t>3</w:t>
            </w:r>
          </w:p>
        </w:tc>
        <w:tc>
          <w:tcPr>
            <w:tcW w:w="5129" w:type="dxa"/>
          </w:tcPr>
          <w:p w14:paraId="5E3C7626">
            <w:pPr>
              <w:widowControl/>
              <w:rPr>
                <w:rFonts w:ascii="仿宋_GB2312" w:hAnsi="Times New Roman" w:eastAsia="仿宋_GB2312"/>
                <w:szCs w:val="24"/>
                <w:highlight w:val="none"/>
              </w:rPr>
            </w:pPr>
            <w:r>
              <w:rPr>
                <w:rFonts w:ascii="仿宋_GB2312" w:hAnsi="Times New Roman" w:eastAsia="仿宋_GB2312"/>
                <w:szCs w:val="24"/>
                <w:highlight w:val="none"/>
              </w:rPr>
              <w:t>建议必修：数学分析（高等数学）、高等代数</w:t>
            </w:r>
            <w:r>
              <w:rPr>
                <w:rFonts w:hint="eastAsia" w:ascii="仿宋_GB2312" w:hAnsi="Times New Roman" w:eastAsia="仿宋_GB2312"/>
                <w:szCs w:val="24"/>
                <w:highlight w:val="none"/>
              </w:rPr>
              <w:t>（线性代数）</w:t>
            </w:r>
            <w:r>
              <w:rPr>
                <w:rFonts w:ascii="仿宋_GB2312" w:hAnsi="Times New Roman" w:eastAsia="仿宋_GB2312"/>
                <w:szCs w:val="24"/>
                <w:highlight w:val="none"/>
              </w:rPr>
              <w:t>；</w:t>
            </w:r>
          </w:p>
          <w:p w14:paraId="519D1683">
            <w:pPr>
              <w:widowControl/>
              <w:rPr>
                <w:rFonts w:ascii="仿宋_GB2312" w:hAnsi="Times New Roman" w:eastAsia="仿宋_GB2312"/>
                <w:szCs w:val="24"/>
                <w:highlight w:val="none"/>
              </w:rPr>
            </w:pPr>
            <w:r>
              <w:rPr>
                <w:rFonts w:ascii="仿宋_GB2312" w:hAnsi="Times New Roman" w:eastAsia="仿宋_GB2312"/>
                <w:szCs w:val="24"/>
                <w:highlight w:val="none"/>
              </w:rPr>
              <w:t>建议选修：常微分方程</w:t>
            </w:r>
          </w:p>
        </w:tc>
      </w:tr>
      <w:tr w14:paraId="6EBF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17" w:type="dxa"/>
          </w:tcPr>
          <w:p w14:paraId="184836E3">
            <w:pPr>
              <w:widowControl/>
              <w:ind w:firstLine="174" w:firstLineChars="83"/>
              <w:rPr>
                <w:rFonts w:ascii="仿宋_GB2312" w:hAnsi="Times New Roman" w:eastAsia="仿宋_GB2312"/>
                <w:szCs w:val="24"/>
                <w:highlight w:val="none"/>
              </w:rPr>
            </w:pPr>
            <w:r>
              <w:rPr>
                <w:rFonts w:hint="eastAsia" w:ascii="仿宋_GB2312" w:hAnsi="Times New Roman" w:eastAsia="仿宋_GB2312"/>
                <w:szCs w:val="24"/>
                <w:highlight w:val="none"/>
              </w:rPr>
              <w:t>4</w:t>
            </w:r>
          </w:p>
        </w:tc>
        <w:tc>
          <w:tcPr>
            <w:tcW w:w="1715" w:type="dxa"/>
          </w:tcPr>
          <w:p w14:paraId="52B798DE">
            <w:pPr>
              <w:widowControl/>
              <w:jc w:val="center"/>
              <w:rPr>
                <w:rFonts w:ascii="仿宋_GB2312" w:hAnsi="Times New Roman" w:eastAsia="仿宋_GB2312"/>
                <w:szCs w:val="24"/>
                <w:highlight w:val="none"/>
              </w:rPr>
            </w:pPr>
            <w:r>
              <w:rPr>
                <w:rFonts w:hint="eastAsia" w:ascii="仿宋_GB2312" w:hAnsi="Times New Roman" w:eastAsia="仿宋_GB2312"/>
                <w:szCs w:val="24"/>
                <w:highlight w:val="none"/>
              </w:rPr>
              <w:t>实变函数论</w:t>
            </w:r>
          </w:p>
        </w:tc>
        <w:tc>
          <w:tcPr>
            <w:tcW w:w="802" w:type="dxa"/>
          </w:tcPr>
          <w:p w14:paraId="31CD7E6F">
            <w:pPr>
              <w:widowControl/>
              <w:ind w:firstLine="279" w:firstLineChars="133"/>
              <w:rPr>
                <w:rFonts w:ascii="仿宋_GB2312" w:hAnsi="Times New Roman" w:eastAsia="仿宋_GB2312"/>
                <w:szCs w:val="24"/>
                <w:highlight w:val="none"/>
              </w:rPr>
            </w:pPr>
            <w:r>
              <w:rPr>
                <w:rFonts w:hint="eastAsia" w:ascii="仿宋_GB2312" w:hAnsi="Times New Roman" w:eastAsia="仿宋_GB2312"/>
                <w:szCs w:val="24"/>
                <w:highlight w:val="none"/>
              </w:rPr>
              <w:t>3</w:t>
            </w:r>
          </w:p>
        </w:tc>
        <w:tc>
          <w:tcPr>
            <w:tcW w:w="5129" w:type="dxa"/>
          </w:tcPr>
          <w:p w14:paraId="536F807E">
            <w:pPr>
              <w:widowControl/>
              <w:rPr>
                <w:rFonts w:ascii="仿宋_GB2312" w:hAnsi="Times New Roman" w:eastAsia="仿宋_GB2312"/>
                <w:szCs w:val="24"/>
                <w:highlight w:val="none"/>
              </w:rPr>
            </w:pPr>
            <w:r>
              <w:rPr>
                <w:rFonts w:ascii="仿宋_GB2312" w:hAnsi="Times New Roman" w:eastAsia="仿宋_GB2312"/>
                <w:szCs w:val="24"/>
                <w:highlight w:val="none"/>
              </w:rPr>
              <w:t>建议必修：数学分析（高等数学）、高等代数</w:t>
            </w:r>
            <w:r>
              <w:rPr>
                <w:rFonts w:hint="eastAsia" w:ascii="仿宋_GB2312" w:hAnsi="Times New Roman" w:eastAsia="仿宋_GB2312"/>
                <w:szCs w:val="24"/>
                <w:highlight w:val="none"/>
              </w:rPr>
              <w:t>（线性代数）</w:t>
            </w:r>
          </w:p>
        </w:tc>
      </w:tr>
      <w:tr w14:paraId="040C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7" w:type="dxa"/>
          </w:tcPr>
          <w:p w14:paraId="433F31C3">
            <w:pPr>
              <w:widowControl/>
              <w:ind w:firstLine="174" w:firstLineChars="83"/>
              <w:rPr>
                <w:rFonts w:ascii="仿宋_GB2312" w:hAnsi="Times New Roman" w:eastAsia="仿宋_GB2312"/>
                <w:szCs w:val="24"/>
                <w:highlight w:val="none"/>
              </w:rPr>
            </w:pPr>
            <w:r>
              <w:rPr>
                <w:rFonts w:ascii="仿宋_GB2312" w:hAnsi="Times New Roman" w:eastAsia="仿宋_GB2312"/>
                <w:szCs w:val="24"/>
                <w:highlight w:val="none"/>
              </w:rPr>
              <w:t>5</w:t>
            </w:r>
          </w:p>
        </w:tc>
        <w:tc>
          <w:tcPr>
            <w:tcW w:w="1715" w:type="dxa"/>
          </w:tcPr>
          <w:p w14:paraId="426056D3">
            <w:pPr>
              <w:widowControl/>
              <w:jc w:val="center"/>
              <w:rPr>
                <w:rFonts w:ascii="仿宋_GB2312" w:hAnsi="Times New Roman" w:eastAsia="仿宋_GB2312"/>
                <w:szCs w:val="24"/>
                <w:highlight w:val="none"/>
              </w:rPr>
            </w:pPr>
            <w:r>
              <w:rPr>
                <w:rFonts w:ascii="仿宋_GB2312" w:hAnsi="Times New Roman" w:eastAsia="仿宋_GB2312"/>
                <w:szCs w:val="24"/>
                <w:highlight w:val="none"/>
              </w:rPr>
              <w:t>数值分析</w:t>
            </w:r>
          </w:p>
        </w:tc>
        <w:tc>
          <w:tcPr>
            <w:tcW w:w="802" w:type="dxa"/>
          </w:tcPr>
          <w:p w14:paraId="44E13D76">
            <w:pPr>
              <w:widowControl/>
              <w:ind w:firstLine="279" w:firstLineChars="133"/>
              <w:rPr>
                <w:rFonts w:ascii="仿宋_GB2312" w:hAnsi="Times New Roman" w:eastAsia="仿宋_GB2312"/>
                <w:szCs w:val="24"/>
                <w:highlight w:val="none"/>
              </w:rPr>
            </w:pPr>
            <w:r>
              <w:rPr>
                <w:rFonts w:hint="eastAsia" w:ascii="仿宋_GB2312" w:hAnsi="Times New Roman" w:eastAsia="仿宋_GB2312"/>
                <w:szCs w:val="24"/>
                <w:highlight w:val="none"/>
              </w:rPr>
              <w:t>3</w:t>
            </w:r>
          </w:p>
        </w:tc>
        <w:tc>
          <w:tcPr>
            <w:tcW w:w="5129" w:type="dxa"/>
          </w:tcPr>
          <w:p w14:paraId="31B5A7EC">
            <w:pPr>
              <w:widowControl/>
              <w:rPr>
                <w:rFonts w:ascii="仿宋_GB2312" w:hAnsi="Times New Roman" w:eastAsia="仿宋_GB2312"/>
                <w:szCs w:val="24"/>
                <w:highlight w:val="none"/>
              </w:rPr>
            </w:pPr>
            <w:r>
              <w:rPr>
                <w:rFonts w:ascii="仿宋_GB2312" w:hAnsi="Times New Roman" w:eastAsia="仿宋_GB2312"/>
                <w:szCs w:val="24"/>
                <w:highlight w:val="none"/>
              </w:rPr>
              <w:t>建议必修：数学分析（高等数学）、高等代数</w:t>
            </w:r>
            <w:r>
              <w:rPr>
                <w:rFonts w:hint="eastAsia" w:ascii="仿宋_GB2312" w:hAnsi="Times New Roman" w:eastAsia="仿宋_GB2312"/>
                <w:szCs w:val="24"/>
                <w:highlight w:val="none"/>
              </w:rPr>
              <w:t>（线性代数）</w:t>
            </w:r>
            <w:r>
              <w:rPr>
                <w:rFonts w:ascii="仿宋_GB2312" w:hAnsi="Times New Roman" w:eastAsia="仿宋_GB2312"/>
                <w:szCs w:val="24"/>
                <w:highlight w:val="none"/>
              </w:rPr>
              <w:t>；</w:t>
            </w:r>
          </w:p>
          <w:p w14:paraId="41A700DA">
            <w:pPr>
              <w:widowControl/>
              <w:rPr>
                <w:rFonts w:ascii="仿宋_GB2312" w:hAnsi="Times New Roman" w:eastAsia="仿宋_GB2312"/>
                <w:szCs w:val="24"/>
                <w:highlight w:val="none"/>
              </w:rPr>
            </w:pPr>
            <w:r>
              <w:rPr>
                <w:rFonts w:ascii="仿宋_GB2312" w:hAnsi="Times New Roman" w:eastAsia="仿宋_GB2312"/>
                <w:szCs w:val="24"/>
                <w:highlight w:val="none"/>
              </w:rPr>
              <w:t>建议选修：常微分方程</w:t>
            </w:r>
          </w:p>
        </w:tc>
      </w:tr>
      <w:tr w14:paraId="5E28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7" w:type="dxa"/>
          </w:tcPr>
          <w:p w14:paraId="45B74E9D">
            <w:pPr>
              <w:widowControl/>
              <w:ind w:firstLine="174" w:firstLineChars="83"/>
              <w:rPr>
                <w:rFonts w:ascii="仿宋_GB2312" w:hAnsi="Times New Roman" w:eastAsia="仿宋_GB2312"/>
                <w:szCs w:val="24"/>
                <w:highlight w:val="none"/>
              </w:rPr>
            </w:pPr>
            <w:r>
              <w:rPr>
                <w:rFonts w:hint="eastAsia" w:ascii="仿宋_GB2312" w:hAnsi="Times New Roman" w:eastAsia="仿宋_GB2312"/>
                <w:szCs w:val="24"/>
                <w:highlight w:val="none"/>
              </w:rPr>
              <w:t>6</w:t>
            </w:r>
          </w:p>
        </w:tc>
        <w:tc>
          <w:tcPr>
            <w:tcW w:w="1715" w:type="dxa"/>
          </w:tcPr>
          <w:p w14:paraId="79918306">
            <w:pPr>
              <w:widowControl/>
              <w:jc w:val="center"/>
              <w:rPr>
                <w:rFonts w:ascii="仿宋_GB2312" w:hAnsi="Times New Roman" w:eastAsia="仿宋_GB2312"/>
                <w:szCs w:val="24"/>
                <w:highlight w:val="none"/>
              </w:rPr>
            </w:pPr>
            <w:r>
              <w:rPr>
                <w:rFonts w:hint="eastAsia" w:ascii="仿宋_GB2312" w:hAnsi="Times New Roman" w:eastAsia="仿宋_GB2312"/>
                <w:szCs w:val="24"/>
                <w:highlight w:val="none"/>
              </w:rPr>
              <w:t>金融随机分析II</w:t>
            </w:r>
          </w:p>
        </w:tc>
        <w:tc>
          <w:tcPr>
            <w:tcW w:w="802" w:type="dxa"/>
          </w:tcPr>
          <w:p w14:paraId="0441FDF7">
            <w:pPr>
              <w:widowControl/>
              <w:ind w:firstLine="279" w:firstLineChars="133"/>
              <w:rPr>
                <w:rFonts w:ascii="仿宋_GB2312" w:hAnsi="Times New Roman" w:eastAsia="仿宋_GB2312"/>
                <w:szCs w:val="24"/>
                <w:highlight w:val="none"/>
              </w:rPr>
            </w:pPr>
            <w:r>
              <w:rPr>
                <w:rFonts w:hint="eastAsia" w:ascii="仿宋_GB2312" w:hAnsi="Times New Roman" w:eastAsia="仿宋_GB2312"/>
                <w:szCs w:val="24"/>
                <w:highlight w:val="none"/>
              </w:rPr>
              <w:t>3</w:t>
            </w:r>
          </w:p>
        </w:tc>
        <w:tc>
          <w:tcPr>
            <w:tcW w:w="5129" w:type="dxa"/>
          </w:tcPr>
          <w:p w14:paraId="685E22F6">
            <w:pPr>
              <w:widowControl/>
              <w:rPr>
                <w:rFonts w:ascii="仿宋_GB2312" w:hAnsi="Times New Roman" w:eastAsia="仿宋_GB2312"/>
                <w:szCs w:val="24"/>
                <w:highlight w:val="none"/>
              </w:rPr>
            </w:pPr>
            <w:r>
              <w:rPr>
                <w:rFonts w:ascii="仿宋_GB2312" w:hAnsi="Times New Roman" w:eastAsia="仿宋_GB2312"/>
                <w:szCs w:val="24"/>
                <w:highlight w:val="none"/>
              </w:rPr>
              <w:t>建议必修：数学分析（高等数学）、高等代数</w:t>
            </w:r>
            <w:r>
              <w:rPr>
                <w:rFonts w:hint="eastAsia" w:ascii="仿宋_GB2312" w:hAnsi="Times New Roman" w:eastAsia="仿宋_GB2312"/>
                <w:szCs w:val="24"/>
                <w:highlight w:val="none"/>
              </w:rPr>
              <w:t>（线性代数）、概率论与数理统计；</w:t>
            </w:r>
          </w:p>
          <w:p w14:paraId="2ED4C42E">
            <w:pPr>
              <w:widowControl/>
              <w:rPr>
                <w:rFonts w:ascii="仿宋_GB2312" w:hAnsi="Times New Roman" w:eastAsia="仿宋_GB2312"/>
                <w:szCs w:val="24"/>
                <w:highlight w:val="none"/>
              </w:rPr>
            </w:pPr>
            <w:r>
              <w:rPr>
                <w:rFonts w:ascii="仿宋_GB2312" w:hAnsi="Times New Roman" w:eastAsia="仿宋_GB2312"/>
                <w:szCs w:val="24"/>
                <w:highlight w:val="none"/>
              </w:rPr>
              <w:t>建议必修：实变函数</w:t>
            </w:r>
            <w:r>
              <w:rPr>
                <w:rFonts w:hint="eastAsia" w:ascii="仿宋_GB2312" w:hAnsi="Times New Roman" w:eastAsia="仿宋_GB2312"/>
                <w:szCs w:val="24"/>
                <w:highlight w:val="none"/>
                <w:lang w:eastAsia="zh-CN"/>
              </w:rPr>
              <w:t>论</w:t>
            </w:r>
          </w:p>
        </w:tc>
      </w:tr>
    </w:tbl>
    <w:p w14:paraId="689AA420">
      <w:pPr>
        <w:spacing w:line="360" w:lineRule="auto"/>
        <w:rPr>
          <w:rFonts w:ascii="仿宋_GB2312" w:hAnsi="Times New Roman" w:eastAsia="仿宋_GB2312"/>
          <w:sz w:val="24"/>
          <w:szCs w:val="24"/>
        </w:rPr>
      </w:pPr>
    </w:p>
    <w:p w14:paraId="69A43E4F"/>
    <w:sectPr>
      <w:pgSz w:w="11906" w:h="16838"/>
      <w:pgMar w:top="1134" w:right="1701" w:bottom="56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2ODMyY2VlZmYzNDRjZmI3YzJjMmI2ZWEyNTMyMWMifQ=="/>
  </w:docVars>
  <w:rsids>
    <w:rsidRoot w:val="00000000"/>
    <w:rsid w:val="49E46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1561</Words>
  <Characters>1606</Characters>
  <Lines>12</Lines>
  <Paragraphs>3</Paragraphs>
  <TotalTime>0</TotalTime>
  <ScaleCrop>false</ScaleCrop>
  <LinksUpToDate>false</LinksUpToDate>
  <CharactersWithSpaces>1631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2024-08-28T18:23:00Z</dcterms:created>
  <dc:creator>lenovo</dc:creator>
  <cp:lastModifiedBy>yx</cp:lastModifiedBy>
  <dcterms:modified xsi:type="dcterms:W3CDTF">2024-09-18T05:50:48Z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3E6477E2EDC44BE595D9D9C08292DBBA_13</vt:lpwstr>
  </property>
</Properties>
</file>