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0E1" w:rsidRDefault="009E3C88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1340E1" w:rsidRDefault="001340E1"/>
    <w:p w:rsidR="001340E1" w:rsidRDefault="009E3C88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项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目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征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集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:rsidR="001340E1" w:rsidRDefault="001340E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1340E1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:rsidR="001340E1" w:rsidRDefault="00D61EDD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王志</w:t>
            </w:r>
          </w:p>
        </w:tc>
        <w:tc>
          <w:tcPr>
            <w:tcW w:w="1801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:rsidR="001340E1" w:rsidRDefault="00D61E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1340E1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:rsidR="001340E1" w:rsidRDefault="00746E8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</w:t>
            </w:r>
            <w:r w:rsidR="00D61EDD">
              <w:rPr>
                <w:rFonts w:hint="eastAsia"/>
                <w:sz w:val="24"/>
                <w:szCs w:val="24"/>
              </w:rPr>
              <w:t>自然科学基金项目</w:t>
            </w:r>
          </w:p>
        </w:tc>
        <w:tc>
          <w:tcPr>
            <w:tcW w:w="1801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:rsidR="001340E1" w:rsidRDefault="00746E83">
            <w:pPr>
              <w:jc w:val="center"/>
              <w:rPr>
                <w:sz w:val="24"/>
                <w:szCs w:val="24"/>
              </w:rPr>
            </w:pPr>
            <w:r w:rsidRPr="00746E83">
              <w:rPr>
                <w:rFonts w:hint="eastAsia"/>
                <w:sz w:val="24"/>
                <w:szCs w:val="24"/>
              </w:rPr>
              <w:t>投资者关系管理与企业绿色创新绩效：机制、条件与后果研究</w:t>
            </w:r>
          </w:p>
        </w:tc>
      </w:tr>
      <w:tr w:rsidR="001340E1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:rsidR="001340E1" w:rsidRDefault="00746E83">
            <w:pPr>
              <w:jc w:val="center"/>
              <w:rPr>
                <w:sz w:val="24"/>
                <w:szCs w:val="24"/>
              </w:rPr>
            </w:pPr>
            <w:r w:rsidRPr="00746E83">
              <w:rPr>
                <w:sz w:val="24"/>
                <w:szCs w:val="24"/>
              </w:rPr>
              <w:t>72202184</w:t>
            </w:r>
          </w:p>
        </w:tc>
        <w:tc>
          <w:tcPr>
            <w:tcW w:w="1801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</w:t>
            </w:r>
            <w:r>
              <w:rPr>
                <w:rFonts w:hint="eastAsia"/>
                <w:sz w:val="24"/>
                <w:szCs w:val="24"/>
              </w:rPr>
              <w:t>研究方向</w:t>
            </w:r>
          </w:p>
        </w:tc>
        <w:tc>
          <w:tcPr>
            <w:tcW w:w="2347" w:type="dxa"/>
            <w:vAlign w:val="center"/>
          </w:tcPr>
          <w:p w:rsidR="001340E1" w:rsidRDefault="00746E8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投资者关系管理；绿色创新</w:t>
            </w:r>
          </w:p>
        </w:tc>
      </w:tr>
      <w:tr w:rsidR="001340E1">
        <w:trPr>
          <w:trHeight w:val="794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:rsidR="001340E1" w:rsidRDefault="00746E83" w:rsidP="00746E83">
            <w:pPr>
              <w:jc w:val="center"/>
              <w:rPr>
                <w:sz w:val="24"/>
                <w:szCs w:val="24"/>
              </w:rPr>
            </w:pPr>
            <w:r w:rsidRPr="00746E83">
              <w:rPr>
                <w:rFonts w:hint="eastAsia"/>
                <w:sz w:val="24"/>
                <w:szCs w:val="24"/>
              </w:rPr>
              <w:t>“构建市场导向的绿色技术创新体系”与“金融市场服务实体经济”的政策导向表明金融市场应该发挥对绿色创新的激励作用，而良好的投资者关系管理（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）有助于增强金融市场信息效率，更好地服务实体经济向可持续化发展。然而，鲜有文献探讨金融市场对企业绿色创新的激励作用。本项目研究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能否通过金融市场的信号机制对企业绿色创新产生激励作用。具体内容如下：（</w:t>
            </w:r>
            <w:r w:rsidRPr="00746E83">
              <w:rPr>
                <w:rFonts w:hint="eastAsia"/>
                <w:sz w:val="24"/>
                <w:szCs w:val="24"/>
              </w:rPr>
              <w:t>1</w:t>
            </w:r>
            <w:r w:rsidRPr="00746E83">
              <w:rPr>
                <w:rFonts w:hint="eastAsia"/>
                <w:sz w:val="24"/>
                <w:szCs w:val="24"/>
              </w:rPr>
              <w:t>）从创新意愿和创新能力角度，探究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影响企业绿色创新绩效的作用机制；（</w:t>
            </w:r>
            <w:r w:rsidRPr="00746E83">
              <w:rPr>
                <w:rFonts w:hint="eastAsia"/>
                <w:sz w:val="24"/>
                <w:szCs w:val="24"/>
              </w:rPr>
              <w:t>2</w:t>
            </w:r>
            <w:r w:rsidRPr="00746E83">
              <w:rPr>
                <w:rFonts w:hint="eastAsia"/>
                <w:sz w:val="24"/>
                <w:szCs w:val="24"/>
              </w:rPr>
              <w:t>）从内容层面和组织层面考察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不同特征对绿色创新绩效的异化作用，明确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的工作重点；（</w:t>
            </w:r>
            <w:r w:rsidRPr="00746E83">
              <w:rPr>
                <w:rFonts w:hint="eastAsia"/>
                <w:sz w:val="24"/>
                <w:szCs w:val="24"/>
              </w:rPr>
              <w:t>3</w:t>
            </w:r>
            <w:r w:rsidRPr="00746E83">
              <w:rPr>
                <w:rFonts w:hint="eastAsia"/>
                <w:sz w:val="24"/>
                <w:szCs w:val="24"/>
              </w:rPr>
              <w:t>）以投资者价值导向和价值判断为切入点，考察不同投资者特质对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与绿色创新关系的影响，揭示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发挥作用的条件；（</w:t>
            </w:r>
            <w:r w:rsidRPr="00746E83">
              <w:rPr>
                <w:rFonts w:hint="eastAsia"/>
                <w:sz w:val="24"/>
                <w:szCs w:val="24"/>
              </w:rPr>
              <w:t>4</w:t>
            </w:r>
            <w:r w:rsidRPr="00746E83">
              <w:rPr>
                <w:rFonts w:hint="eastAsia"/>
                <w:sz w:val="24"/>
                <w:szCs w:val="24"/>
              </w:rPr>
              <w:t>）从“价值增长机制”和“市场关注机制”两个角度，研究在</w:t>
            </w:r>
            <w:r w:rsidRPr="00746E83">
              <w:rPr>
                <w:rFonts w:hint="eastAsia"/>
                <w:sz w:val="24"/>
                <w:szCs w:val="24"/>
              </w:rPr>
              <w:t>IRM</w:t>
            </w:r>
            <w:r w:rsidRPr="00746E83">
              <w:rPr>
                <w:rFonts w:hint="eastAsia"/>
                <w:sz w:val="24"/>
                <w:szCs w:val="24"/>
              </w:rPr>
              <w:t>影响下绿色创新的价值效应。从而弥补现有研究的不足，并为加强金融市场信息效率、优化企业价值实现模式提供参考。</w:t>
            </w:r>
          </w:p>
        </w:tc>
      </w:tr>
      <w:tr w:rsidR="001340E1">
        <w:trPr>
          <w:trHeight w:val="794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:rsidR="001340E1" w:rsidRDefault="00F627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绿色金融助力</w:t>
            </w:r>
            <w:r w:rsidR="00746E83">
              <w:rPr>
                <w:rFonts w:hint="eastAsia"/>
                <w:sz w:val="24"/>
                <w:szCs w:val="24"/>
              </w:rPr>
              <w:t>制造业企业绿色转型的</w:t>
            </w:r>
            <w:r>
              <w:rPr>
                <w:rFonts w:hint="eastAsia"/>
                <w:sz w:val="24"/>
                <w:szCs w:val="24"/>
              </w:rPr>
              <w:t>路径</w:t>
            </w:r>
            <w:r w:rsidR="00746E83">
              <w:rPr>
                <w:rFonts w:hint="eastAsia"/>
                <w:sz w:val="24"/>
                <w:szCs w:val="24"/>
              </w:rPr>
              <w:t>研究</w:t>
            </w:r>
          </w:p>
        </w:tc>
      </w:tr>
      <w:tr w:rsidR="001340E1">
        <w:trPr>
          <w:trHeight w:val="1753"/>
        </w:trPr>
        <w:tc>
          <w:tcPr>
            <w:tcW w:w="1696" w:type="dxa"/>
            <w:vAlign w:val="center"/>
          </w:tcPr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:rsidR="001340E1" w:rsidRDefault="009E3C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对申报项目学生的科研素养及专业要求等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1340E1" w:rsidRPr="00F6276C" w:rsidRDefault="00F6276C" w:rsidP="00F6276C">
            <w:pPr>
              <w:rPr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一、</w:t>
            </w:r>
            <w:r w:rsidR="004446E9" w:rsidRPr="008D6CA0">
              <w:rPr>
                <w:rFonts w:hint="eastAsia"/>
                <w:b/>
                <w:sz w:val="24"/>
                <w:szCs w:val="24"/>
              </w:rPr>
              <w:t>科研素养</w:t>
            </w:r>
            <w:r w:rsidR="00CE55DE" w:rsidRPr="008D6CA0">
              <w:rPr>
                <w:rFonts w:hint="eastAsia"/>
                <w:b/>
                <w:sz w:val="24"/>
                <w:szCs w:val="24"/>
              </w:rPr>
              <w:t>：</w:t>
            </w:r>
            <w:r w:rsidR="00CE55DE" w:rsidRPr="00F6276C">
              <w:rPr>
                <w:rFonts w:hint="eastAsia"/>
                <w:sz w:val="24"/>
                <w:szCs w:val="24"/>
              </w:rPr>
              <w:t>会阅读文献；会用</w:t>
            </w:r>
            <w:r w:rsidR="00CE55DE" w:rsidRPr="00F6276C">
              <w:rPr>
                <w:rFonts w:hint="eastAsia"/>
                <w:sz w:val="24"/>
                <w:szCs w:val="24"/>
              </w:rPr>
              <w:t>Python</w:t>
            </w:r>
            <w:r w:rsidR="00CE55DE" w:rsidRPr="00F6276C">
              <w:rPr>
                <w:rFonts w:hint="eastAsia"/>
                <w:sz w:val="24"/>
                <w:szCs w:val="24"/>
              </w:rPr>
              <w:t>进行数据采集和清洗；会用</w:t>
            </w:r>
            <w:r w:rsidR="00CE55DE" w:rsidRPr="00F6276C">
              <w:rPr>
                <w:rFonts w:hint="eastAsia"/>
                <w:sz w:val="24"/>
                <w:szCs w:val="24"/>
              </w:rPr>
              <w:t>Stata</w:t>
            </w:r>
            <w:r w:rsidR="00CE55DE" w:rsidRPr="00F6276C">
              <w:rPr>
                <w:rFonts w:hint="eastAsia"/>
                <w:sz w:val="24"/>
                <w:szCs w:val="24"/>
              </w:rPr>
              <w:t>进行统计分析</w:t>
            </w:r>
          </w:p>
          <w:p w:rsidR="004446E9" w:rsidRPr="00F6276C" w:rsidRDefault="00F6276C" w:rsidP="00F6276C">
            <w:pPr>
              <w:rPr>
                <w:rFonts w:hint="eastAsia"/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二、</w:t>
            </w:r>
            <w:r w:rsidR="004446E9" w:rsidRPr="008D6CA0">
              <w:rPr>
                <w:rFonts w:hint="eastAsia"/>
                <w:b/>
                <w:sz w:val="24"/>
                <w:szCs w:val="24"/>
              </w:rPr>
              <w:t>综合素质</w:t>
            </w:r>
            <w:r w:rsidR="00CE55DE" w:rsidRPr="008D6CA0">
              <w:rPr>
                <w:rFonts w:hint="eastAsia"/>
                <w:b/>
                <w:sz w:val="24"/>
                <w:szCs w:val="24"/>
              </w:rPr>
              <w:t>：</w:t>
            </w:r>
            <w:r w:rsidR="00CE55DE" w:rsidRPr="00F6276C">
              <w:rPr>
                <w:rFonts w:hint="eastAsia"/>
                <w:sz w:val="24"/>
                <w:szCs w:val="24"/>
              </w:rPr>
              <w:t>较强的规划能力、思辨能力、研究能力、写作能力、表达能力</w:t>
            </w:r>
            <w:r w:rsidR="00CE55DE" w:rsidRPr="00F6276C">
              <w:rPr>
                <w:rFonts w:hint="eastAsia"/>
                <w:sz w:val="24"/>
                <w:szCs w:val="24"/>
              </w:rPr>
              <w:t>；热爱科研，积极主动，踏实真诚</w:t>
            </w:r>
          </w:p>
          <w:p w:rsidR="001340E1" w:rsidRPr="008D6CA0" w:rsidRDefault="008D6CA0" w:rsidP="008D6CA0">
            <w:pPr>
              <w:rPr>
                <w:rFonts w:hint="eastAsia"/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三、</w:t>
            </w:r>
            <w:r w:rsidR="004446E9" w:rsidRPr="008D6CA0">
              <w:rPr>
                <w:rFonts w:hint="eastAsia"/>
                <w:b/>
                <w:sz w:val="24"/>
                <w:szCs w:val="24"/>
              </w:rPr>
              <w:t>专业要求：</w:t>
            </w:r>
            <w:r w:rsidR="004446E9" w:rsidRPr="008D6CA0">
              <w:rPr>
                <w:rFonts w:hint="eastAsia"/>
                <w:sz w:val="24"/>
                <w:szCs w:val="24"/>
              </w:rPr>
              <w:t>不限</w:t>
            </w:r>
          </w:p>
        </w:tc>
      </w:tr>
      <w:tr w:rsidR="001340E1">
        <w:trPr>
          <w:trHeight w:val="2494"/>
        </w:trPr>
        <w:tc>
          <w:tcPr>
            <w:tcW w:w="1696" w:type="dxa"/>
            <w:vAlign w:val="center"/>
          </w:tcPr>
          <w:p w:rsidR="001340E1" w:rsidRDefault="001340E1">
            <w:pPr>
              <w:jc w:val="center"/>
              <w:rPr>
                <w:sz w:val="24"/>
                <w:szCs w:val="24"/>
                <w:u w:val="single"/>
              </w:rPr>
            </w:pPr>
          </w:p>
          <w:p w:rsidR="001340E1" w:rsidRDefault="009E3C88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:rsidR="001340E1" w:rsidRDefault="009E3C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拟设项目研究内容、实施过程及成效要求；</w:t>
            </w:r>
            <w:r>
              <w:rPr>
                <w:rFonts w:hint="eastAsia"/>
                <w:sz w:val="24"/>
                <w:szCs w:val="24"/>
              </w:rPr>
              <w:t>1000</w:t>
            </w:r>
            <w:r>
              <w:rPr>
                <w:rFonts w:hint="eastAsia"/>
                <w:sz w:val="24"/>
                <w:szCs w:val="24"/>
              </w:rPr>
              <w:t>字以内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1340E1" w:rsidRPr="008D6CA0" w:rsidRDefault="00F6276C">
            <w:pPr>
              <w:rPr>
                <w:b/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一、项目研究内容</w:t>
            </w:r>
          </w:p>
          <w:p w:rsidR="00121321" w:rsidRPr="009768F4" w:rsidRDefault="00121321" w:rsidP="00121321">
            <w:pPr>
              <w:ind w:firstLineChars="200" w:firstLine="480"/>
              <w:rPr>
                <w:rFonts w:ascii="宋体" w:eastAsia="宋体" w:hAnsi="宋体" w:hint="eastAsia"/>
                <w:sz w:val="24"/>
                <w:szCs w:val="32"/>
              </w:rPr>
            </w:pPr>
            <w:r w:rsidRPr="00FB4A6D">
              <w:rPr>
                <w:rFonts w:ascii="宋体" w:eastAsia="宋体" w:hAnsi="宋体" w:hint="eastAsia"/>
                <w:sz w:val="24"/>
                <w:szCs w:val="32"/>
              </w:rPr>
              <w:t>习总书记在“二十大”报告中提出“要加快发展方式绿色转型，推动绿色低碳的生产方式”。为此，需要对生产型企业进行广泛而深刻的系统性变革。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然而，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当前我国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制造业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企业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仍存在不足，企业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绿色转型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布局亟待加强（方先明和那晋领，2020）。由于</w:t>
            </w:r>
            <w:r w:rsidRPr="009768F4">
              <w:rPr>
                <w:rFonts w:ascii="Calibri" w:eastAsia="宋体" w:hAnsi="Calibri" w:cs="Calibri"/>
                <w:sz w:val="24"/>
                <w:szCs w:val="32"/>
              </w:rPr>
              <w:t>﻿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具有“双重外部性”，其准公共品特征决定企业层面的供给天然不足（齐绍洲等，2018）。同时，绿色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在研发、实用化和商业化各个阶段存在很高的不确定性（马骏等，2020）。因此，企业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绿色转型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行为需要政府的引导和市场的激励。但研究发现，</w:t>
            </w:r>
            <w:r w:rsidR="008D6CA0">
              <w:rPr>
                <w:rFonts w:ascii="宋体" w:eastAsia="宋体" w:hAnsi="宋体" w:hint="eastAsia"/>
                <w:sz w:val="24"/>
                <w:szCs w:val="32"/>
              </w:rPr>
              <w:t>行政措施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对绿色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的激励作用十分有限，且潜藏挤出效应和寻租风险（方先明和那晋领，2020）。因此，需要市场工具对其进行必要的补充（李青原和肖泽华，2020；齐绍洲等，2018）。市场能够借助价格信号引导资源主动向绿色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能力强的企业集聚，这将提升企业信心，激励企业自主、持续地开展绿色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。</w:t>
            </w:r>
          </w:p>
          <w:p w:rsidR="008D6CA0" w:rsidRDefault="00121321" w:rsidP="008D6CA0">
            <w:pPr>
              <w:ind w:firstLineChars="200" w:firstLine="480"/>
              <w:rPr>
                <w:rFonts w:ascii="宋体" w:eastAsia="宋体" w:hAnsi="宋体"/>
                <w:sz w:val="24"/>
                <w:szCs w:val="32"/>
              </w:rPr>
            </w:pPr>
            <w:r w:rsidRPr="009768F4">
              <w:rPr>
                <w:rFonts w:ascii="宋体" w:eastAsia="宋体" w:hAnsi="宋体" w:hint="eastAsia"/>
                <w:sz w:val="24"/>
                <w:szCs w:val="32"/>
              </w:rPr>
              <w:t>有鉴于此，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国务院</w:t>
            </w:r>
            <w:r w:rsidRPr="009768F4">
              <w:rPr>
                <w:rFonts w:ascii="宋体" w:eastAsia="宋体" w:hAnsi="宋体" w:hint="eastAsia"/>
                <w:sz w:val="24"/>
                <w:szCs w:val="32"/>
              </w:rPr>
              <w:t>于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2021年2月颁布《关于加快建立健全绿色低碳循环发展经济体系的指导意见》</w:t>
            </w:r>
            <w:r w:rsidRPr="009768F4">
              <w:rPr>
                <w:rFonts w:ascii="宋体" w:eastAsia="宋体" w:hAnsi="宋体" w:hint="eastAsia"/>
                <w:sz w:val="24"/>
                <w:szCs w:val="32"/>
              </w:rPr>
              <w:t>，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明确指出要“构建市场导向的绿色技术创新体系”。可见，利用市场导向激发绿色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，已经成为我国经济体制改革的重点。然而，关于“市场导向”，学术界的研究大多集中在产品市场（</w:t>
            </w:r>
            <w:r w:rsidRPr="009768F4">
              <w:rPr>
                <w:rFonts w:ascii="Calibri" w:eastAsia="宋体" w:hAnsi="Calibri" w:cs="Calibri"/>
                <w:sz w:val="24"/>
                <w:szCs w:val="32"/>
              </w:rPr>
              <w:t>﻿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王炳成和李洪伟，2009；伊晟和薛求知，2016）与交易权市场（齐绍洲等，2018；</w:t>
            </w:r>
            <w:r w:rsidRPr="009768F4">
              <w:rPr>
                <w:rFonts w:ascii="Calibri" w:eastAsia="宋体" w:hAnsi="Calibri" w:cs="Calibri"/>
                <w:sz w:val="24"/>
                <w:szCs w:val="32"/>
              </w:rPr>
              <w:t>﻿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徐佳和崔静波，2020），而对于金融市场是否以及如何影响企业绿色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Pr="009768F4">
              <w:rPr>
                <w:rFonts w:ascii="宋体" w:eastAsia="宋体" w:hAnsi="宋体"/>
                <w:sz w:val="24"/>
                <w:szCs w:val="32"/>
              </w:rPr>
              <w:t>的相关研究还较为匮乏。</w:t>
            </w:r>
            <w:r w:rsidR="008D6CA0" w:rsidRPr="008D6CA0">
              <w:rPr>
                <w:rFonts w:ascii="宋体" w:eastAsia="宋体" w:hAnsi="宋体" w:hint="eastAsia"/>
                <w:sz w:val="24"/>
                <w:szCs w:val="32"/>
              </w:rPr>
              <w:t>同时，</w:t>
            </w:r>
            <w:r w:rsidR="008D6CA0" w:rsidRPr="009768F4">
              <w:rPr>
                <w:rFonts w:ascii="宋体" w:eastAsia="宋体" w:hAnsi="宋体"/>
                <w:sz w:val="24"/>
                <w:szCs w:val="32"/>
              </w:rPr>
              <w:t>我国金融市场对企业绿色</w:t>
            </w:r>
            <w:r w:rsidR="008D6CA0">
              <w:rPr>
                <w:rFonts w:ascii="宋体" w:eastAsia="宋体" w:hAnsi="宋体" w:hint="eastAsia"/>
                <w:sz w:val="24"/>
                <w:szCs w:val="32"/>
              </w:rPr>
              <w:t>转型</w:t>
            </w:r>
            <w:r w:rsidR="008D6CA0" w:rsidRPr="009768F4">
              <w:rPr>
                <w:rFonts w:ascii="宋体" w:eastAsia="宋体" w:hAnsi="宋体"/>
                <w:sz w:val="24"/>
                <w:szCs w:val="32"/>
              </w:rPr>
              <w:t>所发挥的激励作用</w:t>
            </w:r>
            <w:r w:rsidR="008D6CA0" w:rsidRPr="009768F4">
              <w:rPr>
                <w:rFonts w:ascii="宋体" w:eastAsia="宋体" w:hAnsi="宋体" w:hint="eastAsia"/>
                <w:sz w:val="24"/>
                <w:szCs w:val="32"/>
              </w:rPr>
              <w:t>较为</w:t>
            </w:r>
            <w:r w:rsidR="008D6CA0" w:rsidRPr="009768F4">
              <w:rPr>
                <w:rFonts w:ascii="宋体" w:eastAsia="宋体" w:hAnsi="宋体"/>
                <w:sz w:val="24"/>
                <w:szCs w:val="32"/>
              </w:rPr>
              <w:t>有限。因此，如何</w:t>
            </w:r>
            <w:r w:rsidR="008D6CA0">
              <w:rPr>
                <w:rFonts w:ascii="宋体" w:eastAsia="宋体" w:hAnsi="宋体" w:hint="eastAsia"/>
                <w:sz w:val="24"/>
                <w:szCs w:val="32"/>
              </w:rPr>
              <w:t>利用绿色金融手段引导制造业企业进行绿色转型至关重要。</w:t>
            </w:r>
          </w:p>
          <w:p w:rsidR="00F6276C" w:rsidRPr="008D6CA0" w:rsidRDefault="008D6CA0" w:rsidP="008D6CA0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32"/>
              </w:rPr>
              <w:t>自</w:t>
            </w:r>
            <w:r w:rsidRPr="008D6CA0">
              <w:rPr>
                <w:rFonts w:ascii="宋体" w:eastAsia="宋体" w:hAnsi="宋体" w:hint="eastAsia"/>
                <w:sz w:val="24"/>
                <w:szCs w:val="32"/>
              </w:rPr>
              <w:t>2</w:t>
            </w:r>
            <w:r w:rsidRPr="008D6CA0">
              <w:rPr>
                <w:rFonts w:ascii="宋体" w:eastAsia="宋体" w:hAnsi="宋体"/>
                <w:sz w:val="24"/>
                <w:szCs w:val="32"/>
              </w:rPr>
              <w:t>016</w:t>
            </w:r>
            <w:r w:rsidRPr="008D6CA0">
              <w:rPr>
                <w:rFonts w:ascii="宋体" w:eastAsia="宋体" w:hAnsi="宋体" w:hint="eastAsia"/>
                <w:sz w:val="24"/>
                <w:szCs w:val="32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起</w:t>
            </w:r>
            <w:r w:rsidRPr="008D6CA0">
              <w:rPr>
                <w:rFonts w:ascii="宋体" w:eastAsia="宋体" w:hAnsi="宋体" w:hint="eastAsia"/>
                <w:sz w:val="24"/>
                <w:szCs w:val="32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我国陆续出台了一系列政策，如</w:t>
            </w:r>
            <w:r w:rsidRPr="00822D90">
              <w:rPr>
                <w:rFonts w:ascii="宋体" w:eastAsia="宋体" w:hAnsi="宋体"/>
                <w:sz w:val="24"/>
                <w:szCs w:val="32"/>
              </w:rPr>
              <w:t>《生态文明体制改革总体方案》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、</w:t>
            </w:r>
            <w:r w:rsidRPr="00822D90">
              <w:rPr>
                <w:rFonts w:ascii="宋体" w:eastAsia="宋体" w:hAnsi="宋体"/>
                <w:sz w:val="24"/>
                <w:szCs w:val="32"/>
              </w:rPr>
              <w:t>《关于开展绿色信贷政策试点的指导意见》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等，</w:t>
            </w:r>
            <w:r w:rsidRPr="00822D90">
              <w:rPr>
                <w:rFonts w:ascii="宋体" w:eastAsia="宋体" w:hAnsi="宋体"/>
                <w:sz w:val="24"/>
                <w:szCs w:val="32"/>
              </w:rPr>
              <w:t>提出建立绿色金融体系，探索建立生态文明建设用地制度和自然资源资产产权制度，推进绿色产品认证等措施。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那么，这类措施是否以及如何助力制造业企业进行绿色转型？其背后的市场逻辑及作用机理是什么？相比于行政措施，绿色金融在促进企业绿色转型方面有哪些优势？绿色金融的广泛推进是否产生正外部性？这些问题是本项目拟着重探索的关键问题。</w:t>
            </w:r>
          </w:p>
          <w:p w:rsidR="00F6276C" w:rsidRDefault="00F6276C">
            <w:pPr>
              <w:rPr>
                <w:b/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二、项目实施过程</w:t>
            </w:r>
          </w:p>
          <w:p w:rsidR="00F6276C" w:rsidRDefault="00C034EB" w:rsidP="00C034EB">
            <w:pPr>
              <w:ind w:firstLineChars="200" w:firstLine="480"/>
              <w:rPr>
                <w:rFonts w:ascii="宋体" w:eastAsia="宋体" w:hAnsi="宋体"/>
                <w:sz w:val="24"/>
                <w:szCs w:val="32"/>
              </w:rPr>
            </w:pPr>
            <w:r>
              <w:rPr>
                <w:rFonts w:ascii="宋体" w:eastAsia="宋体" w:hAnsi="宋体" w:hint="eastAsia"/>
                <w:sz w:val="24"/>
                <w:szCs w:val="32"/>
              </w:rPr>
              <w:t>本项目围绕“</w:t>
            </w:r>
            <w:r>
              <w:rPr>
                <w:rFonts w:hint="eastAsia"/>
                <w:sz w:val="24"/>
                <w:szCs w:val="24"/>
              </w:rPr>
              <w:t>绿色金融助力制造业企业绿色转型的路径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”，由学生充分发挥主观能动性，通过阅读文献以及充分了解我国相关政策，自拟题目，并定期与指导教师讨论，最终形成既有理论意义又有实践价值的科研成果。具体分为如下阶段：</w:t>
            </w:r>
          </w:p>
          <w:p w:rsidR="00C034EB" w:rsidRPr="00C034EB" w:rsidRDefault="00C034EB" w:rsidP="00C034EB">
            <w:pPr>
              <w:ind w:firstLineChars="200" w:firstLine="480"/>
              <w:rPr>
                <w:rFonts w:ascii="宋体" w:eastAsia="宋体" w:hAnsi="宋体"/>
                <w:sz w:val="24"/>
                <w:szCs w:val="32"/>
              </w:rPr>
            </w:pPr>
            <w:r w:rsidRPr="00C034EB">
              <w:rPr>
                <w:rFonts w:ascii="宋体" w:eastAsia="宋体" w:hAnsi="宋体" w:hint="eastAsia"/>
                <w:sz w:val="24"/>
                <w:szCs w:val="32"/>
              </w:rPr>
              <w:t>第一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，预备</w:t>
            </w:r>
            <w:r w:rsidRPr="00C034EB">
              <w:rPr>
                <w:rFonts w:ascii="宋体" w:eastAsia="宋体" w:hAnsi="宋体" w:hint="eastAsia"/>
                <w:sz w:val="24"/>
                <w:szCs w:val="32"/>
              </w:rPr>
              <w:t>阶段。学生在导师的带领下熟悉绿色金融相关研究与政策；同时学习如何阅读文献，如何选题。</w:t>
            </w:r>
          </w:p>
          <w:p w:rsidR="00C034EB" w:rsidRPr="00C034EB" w:rsidRDefault="00C034EB" w:rsidP="00C034EB">
            <w:pPr>
              <w:ind w:firstLineChars="200" w:firstLine="480"/>
              <w:rPr>
                <w:rFonts w:ascii="宋体" w:eastAsia="宋体" w:hAnsi="宋体" w:hint="eastAsia"/>
                <w:sz w:val="24"/>
                <w:szCs w:val="32"/>
              </w:rPr>
            </w:pPr>
            <w:r w:rsidRPr="00C034EB">
              <w:rPr>
                <w:rFonts w:ascii="宋体" w:eastAsia="宋体" w:hAnsi="宋体" w:hint="eastAsia"/>
                <w:sz w:val="24"/>
                <w:szCs w:val="32"/>
              </w:rPr>
              <w:t>第二，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选题阶段。学生在项目的理论框架之下，根据已有的知识积累自主选题。经导师同意后开题，并准备进行资料搜</w:t>
            </w:r>
            <w:r>
              <w:rPr>
                <w:rFonts w:ascii="宋体" w:eastAsia="宋体" w:hAnsi="宋体" w:hint="eastAsia"/>
                <w:sz w:val="24"/>
                <w:szCs w:val="32"/>
              </w:rPr>
              <w:lastRenderedPageBreak/>
              <w:t>集和论文撰写。</w:t>
            </w:r>
          </w:p>
          <w:p w:rsidR="00C034EB" w:rsidRDefault="00C034EB" w:rsidP="00C034EB">
            <w:pPr>
              <w:ind w:firstLineChars="200" w:firstLine="480"/>
              <w:rPr>
                <w:rFonts w:ascii="宋体" w:eastAsia="宋体" w:hAnsi="宋体" w:hint="eastAsia"/>
                <w:sz w:val="24"/>
                <w:szCs w:val="32"/>
              </w:rPr>
            </w:pPr>
            <w:r w:rsidRPr="00C034EB">
              <w:rPr>
                <w:rFonts w:ascii="宋体" w:eastAsia="宋体" w:hAnsi="宋体" w:hint="eastAsia"/>
                <w:sz w:val="24"/>
                <w:szCs w:val="32"/>
              </w:rPr>
              <w:t>第</w:t>
            </w:r>
            <w:r w:rsidR="009E3C88">
              <w:rPr>
                <w:rFonts w:ascii="宋体" w:eastAsia="宋体" w:hAnsi="宋体" w:hint="eastAsia"/>
                <w:sz w:val="24"/>
                <w:szCs w:val="32"/>
              </w:rPr>
              <w:t>三</w:t>
            </w:r>
            <w:r w:rsidRPr="00C034EB">
              <w:rPr>
                <w:rFonts w:ascii="宋体" w:eastAsia="宋体" w:hAnsi="宋体" w:hint="eastAsia"/>
                <w:sz w:val="24"/>
                <w:szCs w:val="32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研究阶段。</w:t>
            </w:r>
            <w:r w:rsidR="009E3C88">
              <w:rPr>
                <w:rFonts w:ascii="宋体" w:eastAsia="宋体" w:hAnsi="宋体" w:hint="eastAsia"/>
                <w:sz w:val="24"/>
                <w:szCs w:val="32"/>
              </w:rPr>
              <w:t>学生在导师带领下，根据已选题目进行文献整理、数据搜集（含大样本和案例）、数据分析（含案例分析）、论文撰写等工作。定期与导师沟通并汇报科研进展。针对存在的重点问题进行研讨。</w:t>
            </w:r>
          </w:p>
          <w:p w:rsidR="00F6276C" w:rsidRDefault="00C034EB" w:rsidP="009E3C88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32"/>
              </w:rPr>
              <w:t>第</w:t>
            </w:r>
            <w:r w:rsidR="009E3C88">
              <w:rPr>
                <w:rFonts w:ascii="宋体" w:eastAsia="宋体" w:hAnsi="宋体" w:hint="eastAsia"/>
                <w:sz w:val="24"/>
                <w:szCs w:val="32"/>
              </w:rPr>
              <w:t>四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，总结阶段。</w:t>
            </w:r>
            <w:r w:rsidR="009E3C88">
              <w:rPr>
                <w:rFonts w:ascii="宋体" w:eastAsia="宋体" w:hAnsi="宋体" w:hint="eastAsia"/>
                <w:sz w:val="24"/>
                <w:szCs w:val="32"/>
              </w:rPr>
              <w:t>对项目成果进行梳理和完善，同时着手论文的发表工作。</w:t>
            </w:r>
          </w:p>
          <w:p w:rsidR="00F6276C" w:rsidRPr="008D6CA0" w:rsidRDefault="00F6276C">
            <w:pPr>
              <w:rPr>
                <w:rFonts w:hint="eastAsia"/>
                <w:b/>
                <w:sz w:val="24"/>
                <w:szCs w:val="24"/>
              </w:rPr>
            </w:pPr>
            <w:r w:rsidRPr="008D6CA0">
              <w:rPr>
                <w:rFonts w:hint="eastAsia"/>
                <w:b/>
                <w:sz w:val="24"/>
                <w:szCs w:val="24"/>
              </w:rPr>
              <w:t>三、项目成效要求</w:t>
            </w:r>
          </w:p>
          <w:p w:rsidR="005A65A2" w:rsidRDefault="005A65A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项目结项报告一份；</w:t>
            </w:r>
          </w:p>
          <w:p w:rsidR="001340E1" w:rsidRDefault="005A65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大样本实证研究论文</w:t>
            </w:r>
            <w:r w:rsidR="008D5BB0">
              <w:rPr>
                <w:rFonts w:hint="eastAsia"/>
                <w:sz w:val="24"/>
                <w:szCs w:val="24"/>
              </w:rPr>
              <w:t>至少</w:t>
            </w:r>
            <w:r>
              <w:rPr>
                <w:rFonts w:hint="eastAsia"/>
                <w:sz w:val="24"/>
                <w:szCs w:val="24"/>
              </w:rPr>
              <w:t>一篇；</w:t>
            </w:r>
          </w:p>
          <w:p w:rsidR="001340E1" w:rsidRDefault="005A65A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案例研究论文</w:t>
            </w:r>
            <w:r w:rsidR="008D5BB0">
              <w:rPr>
                <w:rFonts w:hint="eastAsia"/>
                <w:sz w:val="24"/>
                <w:szCs w:val="24"/>
              </w:rPr>
              <w:t>至少</w:t>
            </w:r>
            <w:r>
              <w:rPr>
                <w:rFonts w:hint="eastAsia"/>
                <w:sz w:val="24"/>
                <w:szCs w:val="24"/>
              </w:rPr>
              <w:t>一篇。</w:t>
            </w:r>
          </w:p>
        </w:tc>
      </w:tr>
      <w:tr w:rsidR="001340E1">
        <w:trPr>
          <w:trHeight w:val="794"/>
        </w:trPr>
        <w:tc>
          <w:tcPr>
            <w:tcW w:w="8296" w:type="dxa"/>
            <w:gridSpan w:val="5"/>
            <w:vAlign w:val="center"/>
          </w:tcPr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2A4DCE" wp14:editId="54F79CC5">
                  <wp:simplePos x="0" y="0"/>
                  <wp:positionH relativeFrom="column">
                    <wp:posOffset>2777490</wp:posOffset>
                  </wp:positionH>
                  <wp:positionV relativeFrom="paragraph">
                    <wp:posOffset>927100</wp:posOffset>
                  </wp:positionV>
                  <wp:extent cx="1043305" cy="527685"/>
                  <wp:effectExtent l="0" t="0" r="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王志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305" cy="52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340E1" w:rsidRDefault="009E3C88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</w:t>
            </w:r>
            <w:r>
              <w:rPr>
                <w:rFonts w:hint="eastAsia"/>
                <w:b/>
                <w:sz w:val="24"/>
                <w:szCs w:val="24"/>
              </w:rPr>
              <w:t>开展项目研究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bookmarkStart w:id="0" w:name="_GoBack"/>
            <w:bookmarkEnd w:id="0"/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</w:tc>
      </w:tr>
      <w:tr w:rsidR="001340E1">
        <w:trPr>
          <w:trHeight w:val="794"/>
        </w:trPr>
        <w:tc>
          <w:tcPr>
            <w:tcW w:w="8296" w:type="dxa"/>
            <w:gridSpan w:val="5"/>
            <w:vAlign w:val="center"/>
          </w:tcPr>
          <w:p w:rsidR="001340E1" w:rsidRDefault="009E3C88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:rsidR="001340E1" w:rsidRDefault="009E3C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  <w:p w:rsidR="001340E1" w:rsidRDefault="001340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40E1" w:rsidRDefault="001340E1"/>
    <w:sectPr w:rsidR="00134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26083"/>
    <w:multiLevelType w:val="hybridMultilevel"/>
    <w:tmpl w:val="068EC770"/>
    <w:lvl w:ilvl="0" w:tplc="DDEEB2AC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B211890"/>
    <w:multiLevelType w:val="hybridMultilevel"/>
    <w:tmpl w:val="61C4F16A"/>
    <w:lvl w:ilvl="0" w:tplc="B3D6BECE">
      <w:start w:val="1"/>
      <w:numFmt w:val="japaneseCounting"/>
      <w:lvlText w:val="%1，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44ADB"/>
    <w:multiLevelType w:val="hybridMultilevel"/>
    <w:tmpl w:val="4F68A03C"/>
    <w:lvl w:ilvl="0" w:tplc="27CE877E">
      <w:start w:val="1"/>
      <w:numFmt w:val="japaneseCounting"/>
      <w:lvlText w:val="第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34C365D3"/>
    <w:multiLevelType w:val="hybridMultilevel"/>
    <w:tmpl w:val="9DC8A440"/>
    <w:lvl w:ilvl="0" w:tplc="CF4E8256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D613C9"/>
    <w:multiLevelType w:val="hybridMultilevel"/>
    <w:tmpl w:val="16AAEA86"/>
    <w:lvl w:ilvl="0" w:tplc="D3BC8402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44C08AC"/>
    <w:multiLevelType w:val="hybridMultilevel"/>
    <w:tmpl w:val="78502D06"/>
    <w:lvl w:ilvl="0" w:tplc="6EA2DF70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412BE7"/>
    <w:multiLevelType w:val="hybridMultilevel"/>
    <w:tmpl w:val="5ABC3A70"/>
    <w:lvl w:ilvl="0" w:tplc="AF36387C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121321"/>
    <w:rsid w:val="001340E1"/>
    <w:rsid w:val="0016709A"/>
    <w:rsid w:val="004446E9"/>
    <w:rsid w:val="005A65A2"/>
    <w:rsid w:val="005E6263"/>
    <w:rsid w:val="00746E83"/>
    <w:rsid w:val="008D5BB0"/>
    <w:rsid w:val="008D6CA0"/>
    <w:rsid w:val="00965CDB"/>
    <w:rsid w:val="009E3C88"/>
    <w:rsid w:val="00BF0494"/>
    <w:rsid w:val="00C034EB"/>
    <w:rsid w:val="00C61915"/>
    <w:rsid w:val="00CE55DE"/>
    <w:rsid w:val="00D61EDD"/>
    <w:rsid w:val="00F6276C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CE45F69"/>
  <w15:docId w15:val="{5555B4BF-F697-7748-B2CA-9FE4250D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444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317</Words>
  <Characters>1812</Characters>
  <Application>Microsoft Office Word</Application>
  <DocSecurity>0</DocSecurity>
  <Lines>15</Lines>
  <Paragraphs>4</Paragraphs>
  <ScaleCrop>false</ScaleCrop>
  <Company>jwc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Wang Zhi</cp:lastModifiedBy>
  <cp:revision>8</cp:revision>
  <dcterms:created xsi:type="dcterms:W3CDTF">2015-12-15T00:48:00Z</dcterms:created>
  <dcterms:modified xsi:type="dcterms:W3CDTF">2023-05-05T05:24:00Z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